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C3CDF" w14:textId="52091067" w:rsidR="00241915" w:rsidRPr="00901031" w:rsidRDefault="00901031" w:rsidP="00901031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caps/>
          <w:color w:val="auto"/>
          <w:szCs w:val="24"/>
          <w:lang w:eastAsia="cs-CZ"/>
        </w:rPr>
      </w:pPr>
      <w:r w:rsidRPr="00901031">
        <w:rPr>
          <w:rFonts w:eastAsia="Times New Roman" w:cs="Times New Roman"/>
          <w:caps/>
          <w:color w:val="auto"/>
          <w:szCs w:val="24"/>
          <w:lang w:eastAsia="cs-CZ"/>
        </w:rPr>
        <w:t>IV.</w:t>
      </w:r>
    </w:p>
    <w:p w14:paraId="75A7E670" w14:textId="77777777" w:rsidR="00425CB5" w:rsidRDefault="00425CB5" w:rsidP="002419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caps/>
          <w:color w:val="auto"/>
          <w:szCs w:val="24"/>
          <w:lang w:eastAsia="cs-CZ"/>
        </w:rPr>
      </w:pPr>
    </w:p>
    <w:p w14:paraId="45405611" w14:textId="77777777" w:rsidR="00FA69C7" w:rsidRDefault="00FA69C7" w:rsidP="002419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color w:val="auto"/>
          <w:szCs w:val="24"/>
          <w:lang w:eastAsia="cs-CZ"/>
        </w:rPr>
      </w:pPr>
      <w:r w:rsidRPr="00241915">
        <w:rPr>
          <w:rFonts w:eastAsia="Times New Roman" w:cs="Times New Roman"/>
          <w:b/>
          <w:caps/>
          <w:color w:val="auto"/>
          <w:szCs w:val="24"/>
          <w:lang w:eastAsia="cs-CZ"/>
        </w:rPr>
        <w:t>Odůvodnění</w:t>
      </w:r>
    </w:p>
    <w:p w14:paraId="50329BEC" w14:textId="77777777" w:rsidR="00241915" w:rsidRDefault="00241915" w:rsidP="0024191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aps/>
          <w:color w:val="auto"/>
          <w:szCs w:val="24"/>
          <w:lang w:eastAsia="cs-CZ"/>
        </w:rPr>
      </w:pPr>
    </w:p>
    <w:p w14:paraId="40948D18" w14:textId="77777777" w:rsidR="00241915" w:rsidRPr="005F4A13" w:rsidRDefault="00241915" w:rsidP="00822239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Times New Roman"/>
          <w:b/>
          <w:bCs/>
          <w:caps/>
          <w:color w:val="auto"/>
          <w:szCs w:val="24"/>
          <w:lang w:eastAsia="cs-CZ"/>
        </w:rPr>
      </w:pPr>
      <w:r w:rsidRPr="00FE0B99">
        <w:rPr>
          <w:rFonts w:eastAsia="Times New Roman" w:cs="Times New Roman"/>
          <w:b/>
          <w:bCs/>
          <w:caps/>
          <w:color w:val="auto"/>
          <w:szCs w:val="24"/>
          <w:lang w:eastAsia="cs-CZ"/>
        </w:rPr>
        <w:t>o</w:t>
      </w:r>
      <w:r w:rsidR="00FE0B99" w:rsidRPr="00FE0B99">
        <w:rPr>
          <w:rFonts w:eastAsia="Times New Roman" w:cs="Times New Roman"/>
          <w:b/>
          <w:bCs/>
          <w:color w:val="auto"/>
          <w:szCs w:val="24"/>
          <w:lang w:eastAsia="cs-CZ"/>
        </w:rPr>
        <w:t>becná část</w:t>
      </w:r>
    </w:p>
    <w:p w14:paraId="1DF59BD3" w14:textId="77777777" w:rsidR="005F4A13" w:rsidRPr="00FE0B99" w:rsidRDefault="005F4A13" w:rsidP="005F4A13">
      <w:pPr>
        <w:pStyle w:val="Odstavecseseznamem"/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  <w:b/>
          <w:bCs/>
          <w:caps/>
          <w:color w:val="auto"/>
          <w:szCs w:val="24"/>
          <w:lang w:eastAsia="cs-CZ"/>
        </w:rPr>
      </w:pPr>
    </w:p>
    <w:p w14:paraId="7267B9C7" w14:textId="77777777" w:rsidR="00467DD6" w:rsidRPr="00822239" w:rsidRDefault="00F44DAE" w:rsidP="00822239">
      <w:pPr>
        <w:pStyle w:val="Nadpiss"/>
      </w:pPr>
      <w:r w:rsidRPr="00822239">
        <w:t>V</w:t>
      </w:r>
      <w:r w:rsidR="00FA69C7" w:rsidRPr="00822239">
        <w:t>ysvětlení nezbytnosti navrhované právní úpravy, odůvodnění jejích hlavních</w:t>
      </w:r>
      <w:r w:rsidR="00467DD6" w:rsidRPr="00822239">
        <w:t xml:space="preserve"> </w:t>
      </w:r>
      <w:r w:rsidR="00FA69C7" w:rsidRPr="00822239">
        <w:t>principů</w:t>
      </w:r>
    </w:p>
    <w:p w14:paraId="4EF22E17" w14:textId="1B55DED9" w:rsidR="006373C0" w:rsidRDefault="00485731" w:rsidP="00822239">
      <w:r>
        <w:t xml:space="preserve">Směrnice </w:t>
      </w:r>
      <w:r w:rsidRPr="00A21420">
        <w:t>2011/83/EU ze dne 25. října 2011</w:t>
      </w:r>
      <w:r w:rsidRPr="00822239">
        <w:t xml:space="preserve"> o právech spotřebitelů, kterou se mění směrnice Rady 93/13/EHS a směrnice Evropského parlamentu a Rady 1999/44/ES a zrušuje směrnice Rady 85/577/EHS a směrnice Evropského parlamentu a Rady 97/7/ES, ve znění směrnice Evropského parlamentu a Rady (EU) 2015/2302</w:t>
      </w:r>
      <w:r w:rsidR="00D46072">
        <w:t xml:space="preserve"> </w:t>
      </w:r>
      <w:r w:rsidRPr="00822239">
        <w:t xml:space="preserve">(dále jen </w:t>
      </w:r>
      <w:r w:rsidRPr="00D3228B">
        <w:t>„směrnice 2011/83</w:t>
      </w:r>
      <w:r w:rsidRPr="00822239">
        <w:t>“),</w:t>
      </w:r>
      <w:r>
        <w:t xml:space="preserve"> stanovuje řadu informačních povinností, které musí podnikatel spotřebiteli sdělit v dostatečném </w:t>
      </w:r>
      <w:r w:rsidRPr="00A21420">
        <w:t>předstihu před uzavřením smlouvy</w:t>
      </w:r>
      <w:r>
        <w:t>. Tyto informace hrají důležitou roli zejména při uzavírání sml</w:t>
      </w:r>
      <w:r w:rsidR="001F23A8">
        <w:t>u</w:t>
      </w:r>
      <w:r>
        <w:t>v distančním způsobem či</w:t>
      </w:r>
      <w:r w:rsidR="001A372D">
        <w:t> </w:t>
      </w:r>
      <w:r>
        <w:t xml:space="preserve">mimo obchodní prostory </w:t>
      </w:r>
      <w:r w:rsidR="001A372D">
        <w:t>podnikatele</w:t>
      </w:r>
      <w:r>
        <w:t xml:space="preserve">, u nichž má spotřebitel </w:t>
      </w:r>
      <w:r w:rsidR="00321401">
        <w:t xml:space="preserve">navíc </w:t>
      </w:r>
      <w:r>
        <w:t xml:space="preserve">právo </w:t>
      </w:r>
      <w:r w:rsidR="001A372D">
        <w:t>ve stanovené lhůtě od</w:t>
      </w:r>
      <w:r w:rsidR="00321401">
        <w:t> </w:t>
      </w:r>
      <w:r w:rsidR="001F23A8">
        <w:t xml:space="preserve">těchto smluv </w:t>
      </w:r>
      <w:r w:rsidR="001A372D">
        <w:t xml:space="preserve">odstoupit. </w:t>
      </w:r>
      <w:r w:rsidR="006373C0">
        <w:t xml:space="preserve">Směrnice 2011/83 ve své </w:t>
      </w:r>
      <w:r w:rsidR="00570166">
        <w:t>P</w:t>
      </w:r>
      <w:r w:rsidR="006373C0">
        <w:t>říloze I zavádí harmonizované poučení o</w:t>
      </w:r>
      <w:r w:rsidR="001F23A8">
        <w:t> </w:t>
      </w:r>
      <w:r w:rsidR="006373C0">
        <w:t xml:space="preserve">odstoupení </w:t>
      </w:r>
      <w:r w:rsidR="00040AD6">
        <w:t xml:space="preserve">od těchto smluv </w:t>
      </w:r>
      <w:r w:rsidR="006373C0">
        <w:t>a vzorový formulář pro odstoupení od smluv</w:t>
      </w:r>
      <w:r w:rsidR="00A34DCB">
        <w:t xml:space="preserve"> </w:t>
      </w:r>
      <w:r w:rsidR="00A34DCB" w:rsidRPr="00A34DCB">
        <w:t>uzavřených distančním způsobem nebo mimo obchodní prostory podnikatele</w:t>
      </w:r>
      <w:r w:rsidR="006373C0">
        <w:t xml:space="preserve">. Toto vzorové poučení a formulář mají sloužit </w:t>
      </w:r>
      <w:r w:rsidR="00040AD6">
        <w:t xml:space="preserve">spotřebiteli </w:t>
      </w:r>
      <w:r w:rsidR="006373C0">
        <w:t xml:space="preserve">pro snadnější </w:t>
      </w:r>
      <w:r w:rsidR="00040AD6">
        <w:t>odstoupení</w:t>
      </w:r>
      <w:r w:rsidR="006373C0">
        <w:t xml:space="preserve"> </w:t>
      </w:r>
      <w:r w:rsidR="00040AD6">
        <w:t>o</w:t>
      </w:r>
      <w:r w:rsidR="006373C0">
        <w:t xml:space="preserve">d </w:t>
      </w:r>
      <w:r w:rsidR="006A71F8">
        <w:t>těchto smluv</w:t>
      </w:r>
      <w:r w:rsidR="006373C0">
        <w:t xml:space="preserve">. Využitím vzorového formuláře však dochází </w:t>
      </w:r>
      <w:r w:rsidR="006373C0" w:rsidRPr="00D3228B">
        <w:t>i</w:t>
      </w:r>
      <w:r w:rsidR="00A34DCB" w:rsidRPr="00D3228B">
        <w:t> </w:t>
      </w:r>
      <w:r w:rsidR="006373C0" w:rsidRPr="00D3228B">
        <w:t>k posílení důkazního postavení spotřebitele, zejména v otázce, kdy a jakým způsobem byl jeho nárok vůči podnikateli uplatněn.</w:t>
      </w:r>
      <w:r w:rsidR="006373C0">
        <w:t xml:space="preserve">  </w:t>
      </w:r>
    </w:p>
    <w:p w14:paraId="5200EA95" w14:textId="489D3B6B" w:rsidR="006A71F8" w:rsidRDefault="006A71F8" w:rsidP="00822239">
      <w:r>
        <w:t>Řádným p</w:t>
      </w:r>
      <w:r w:rsidR="001A372D">
        <w:t>oskytnutím informací podle vzorového poučení splní podnikatel informační povinnost</w:t>
      </w:r>
      <w:r w:rsidR="00321401">
        <w:t xml:space="preserve"> o</w:t>
      </w:r>
      <w:r>
        <w:t> </w:t>
      </w:r>
      <w:r w:rsidR="00321401">
        <w:t>právu na odstoupení od</w:t>
      </w:r>
      <w:r w:rsidR="00B1126F">
        <w:t> </w:t>
      </w:r>
      <w:r w:rsidR="00321401">
        <w:t>smlouvy</w:t>
      </w:r>
      <w:r w:rsidR="001A372D">
        <w:t xml:space="preserve"> danou § 1820 zákona č. 89/2012 Sb., občanský zákoník, ve znění pozdějších předpisů (dále jen „</w:t>
      </w:r>
      <w:r w:rsidR="001A372D" w:rsidRPr="00D3228B">
        <w:t>občanský zákoník</w:t>
      </w:r>
      <w:r w:rsidR="001A372D">
        <w:t xml:space="preserve">“). Spotřebitel může od smlouvy odstoupit prostřednictvím </w:t>
      </w:r>
      <w:r w:rsidR="00321401">
        <w:t xml:space="preserve">vyplnění </w:t>
      </w:r>
      <w:r w:rsidR="001A372D">
        <w:t xml:space="preserve">vzorového formuláře pro odstoupení </w:t>
      </w:r>
      <w:r w:rsidR="00321401">
        <w:t xml:space="preserve">nebo prostřednictvím jakéhokoli jednoznačně formulovaného prohlášení. </w:t>
      </w:r>
      <w:r w:rsidR="001835F9">
        <w:t xml:space="preserve">Využití tohoto formuláře je tedy dobrovolné a spotřebiteli nemůže být podnikatelem přikázáno, jakým způsobem smí od smlouvy odstoupit. </w:t>
      </w:r>
    </w:p>
    <w:p w14:paraId="104EF61D" w14:textId="10DFB617" w:rsidR="001A372D" w:rsidRDefault="00B1126F" w:rsidP="00822239">
      <w:r>
        <w:t>Vzorové poučení o právu na odstoupení od smluv uzavřených distančním způsobem nebo mimo obchodní prostory podnikatele, včetně vzorového formuláře pro odstoupení od</w:t>
      </w:r>
      <w:r w:rsidR="00140D64">
        <w:t> </w:t>
      </w:r>
      <w:r>
        <w:t>těchto smluv</w:t>
      </w:r>
      <w:r w:rsidR="006A71F8">
        <w:t>,</w:t>
      </w:r>
      <w:r>
        <w:t xml:space="preserve"> </w:t>
      </w:r>
      <w:r w:rsidR="001F23A8">
        <w:t>bylo</w:t>
      </w:r>
      <w:r>
        <w:t xml:space="preserve"> do</w:t>
      </w:r>
      <w:r w:rsidR="00920F31">
        <w:t> </w:t>
      </w:r>
      <w:r>
        <w:t>právního řádu Č</w:t>
      </w:r>
      <w:r w:rsidR="00A34DCB">
        <w:t>eské republiky</w:t>
      </w:r>
      <w:r>
        <w:t xml:space="preserve"> provedeno nařízením vlády č. 363/2013 Sb.</w:t>
      </w:r>
      <w:r w:rsidR="001F23A8">
        <w:t>,</w:t>
      </w:r>
      <w:r>
        <w:t xml:space="preserve"> o vzorovém poučení o</w:t>
      </w:r>
      <w:r w:rsidR="00A34DCB">
        <w:t> </w:t>
      </w:r>
      <w:r>
        <w:t xml:space="preserve">právu na odstoupení od smluv uzavřených distančním </w:t>
      </w:r>
      <w:r w:rsidR="00F24E45">
        <w:t>způsobem nebo</w:t>
      </w:r>
      <w:r>
        <w:t xml:space="preserve"> mimo obchodní prostory a</w:t>
      </w:r>
      <w:r w:rsidR="00A34DCB">
        <w:t> </w:t>
      </w:r>
      <w:r>
        <w:t>vzorovém formuláři pro odstoupení od těchto smluv</w:t>
      </w:r>
      <w:r w:rsidR="00E84CBB">
        <w:t xml:space="preserve"> (dále též jen „nařízení </w:t>
      </w:r>
      <w:r w:rsidR="00A34DCB">
        <w:t xml:space="preserve">č. </w:t>
      </w:r>
      <w:r w:rsidR="00E84CBB">
        <w:t>363/2013</w:t>
      </w:r>
      <w:r w:rsidR="00A34DCB">
        <w:t xml:space="preserve"> Sb.</w:t>
      </w:r>
      <w:r w:rsidR="00E84CBB">
        <w:t>“)</w:t>
      </w:r>
      <w:r>
        <w:t xml:space="preserve">.  </w:t>
      </w:r>
    </w:p>
    <w:p w14:paraId="404482E3" w14:textId="04DC33D1" w:rsidR="0099548D" w:rsidRPr="00180617" w:rsidRDefault="00031FF7" w:rsidP="00EC331A">
      <w:pPr>
        <w:spacing w:after="12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Směrnice 2011/83 byla v roce 2019 </w:t>
      </w:r>
      <w:r w:rsidRPr="00A21420">
        <w:rPr>
          <w:rFonts w:cs="Times New Roman"/>
          <w:color w:val="auto"/>
          <w:szCs w:val="24"/>
        </w:rPr>
        <w:t>novelizována směrnicí</w:t>
      </w:r>
      <w:r>
        <w:rPr>
          <w:rFonts w:cs="Times New Roman"/>
          <w:color w:val="auto"/>
          <w:szCs w:val="24"/>
        </w:rPr>
        <w:t xml:space="preserve"> </w:t>
      </w:r>
      <w:r w:rsidR="001B6D88" w:rsidRPr="001B6D88">
        <w:rPr>
          <w:rFonts w:cs="Times New Roman"/>
          <w:color w:val="auto"/>
          <w:szCs w:val="24"/>
        </w:rPr>
        <w:t xml:space="preserve">(EU) 2019/2161 </w:t>
      </w:r>
      <w:r w:rsidRPr="00031FF7">
        <w:rPr>
          <w:rFonts w:cs="Times New Roman"/>
          <w:color w:val="auto"/>
          <w:szCs w:val="24"/>
        </w:rPr>
        <w:t xml:space="preserve">ze dne 27. listopadu 2019, kterou se mění směrnice Rady 93/13/EHS a směrnice Evropského parlamentu a Rady 98/6/ES, </w:t>
      </w:r>
      <w:r w:rsidRPr="00031FF7">
        <w:rPr>
          <w:rFonts w:cs="Times New Roman"/>
          <w:color w:val="auto"/>
          <w:szCs w:val="24"/>
        </w:rPr>
        <w:lastRenderedPageBreak/>
        <w:t>2005/29/EU a 2011/83/EU, pokud jde o lepší vymáhání a modernizaci právních předpisů Unie na</w:t>
      </w:r>
      <w:r w:rsidR="00920F31">
        <w:rPr>
          <w:rFonts w:cs="Times New Roman"/>
          <w:color w:val="auto"/>
          <w:szCs w:val="24"/>
        </w:rPr>
        <w:t> </w:t>
      </w:r>
      <w:r w:rsidRPr="00031FF7">
        <w:rPr>
          <w:rFonts w:cs="Times New Roman"/>
          <w:color w:val="auto"/>
          <w:szCs w:val="24"/>
        </w:rPr>
        <w:t xml:space="preserve">ochranu spotřebitele (dále </w:t>
      </w:r>
      <w:r w:rsidR="006A71F8">
        <w:rPr>
          <w:rFonts w:cs="Times New Roman"/>
          <w:color w:val="auto"/>
          <w:szCs w:val="24"/>
        </w:rPr>
        <w:t xml:space="preserve">též jen </w:t>
      </w:r>
      <w:r w:rsidRPr="00031FF7">
        <w:rPr>
          <w:rFonts w:cs="Times New Roman"/>
          <w:color w:val="auto"/>
          <w:szCs w:val="24"/>
        </w:rPr>
        <w:t>„</w:t>
      </w:r>
      <w:r w:rsidRPr="00D3228B">
        <w:rPr>
          <w:rFonts w:cs="Times New Roman"/>
          <w:color w:val="auto"/>
          <w:szCs w:val="24"/>
        </w:rPr>
        <w:t>modernizační směrnice</w:t>
      </w:r>
      <w:r w:rsidRPr="00031FF7">
        <w:rPr>
          <w:rFonts w:cs="Times New Roman"/>
          <w:color w:val="auto"/>
          <w:szCs w:val="24"/>
        </w:rPr>
        <w:t>“ nebo „</w:t>
      </w:r>
      <w:r w:rsidRPr="00D3228B">
        <w:rPr>
          <w:rFonts w:cs="Times New Roman"/>
          <w:color w:val="auto"/>
          <w:szCs w:val="24"/>
        </w:rPr>
        <w:t>směrnice 2019/2161</w:t>
      </w:r>
      <w:r w:rsidRPr="00031FF7">
        <w:rPr>
          <w:rFonts w:cs="Times New Roman"/>
          <w:color w:val="auto"/>
          <w:szCs w:val="24"/>
        </w:rPr>
        <w:t>“)</w:t>
      </w:r>
      <w:r>
        <w:rPr>
          <w:rFonts w:cs="Times New Roman"/>
          <w:color w:val="auto"/>
          <w:szCs w:val="24"/>
        </w:rPr>
        <w:t xml:space="preserve">. Směrnice 2019/2161 </w:t>
      </w:r>
      <w:r w:rsidRPr="00D3228B">
        <w:rPr>
          <w:rFonts w:cs="Times New Roman"/>
          <w:color w:val="auto"/>
          <w:szCs w:val="24"/>
        </w:rPr>
        <w:t xml:space="preserve">mění </w:t>
      </w:r>
      <w:r w:rsidR="00306D87" w:rsidRPr="00D3228B">
        <w:rPr>
          <w:rFonts w:cs="Times New Roman"/>
          <w:color w:val="auto"/>
          <w:szCs w:val="24"/>
        </w:rPr>
        <w:t xml:space="preserve">v čl. 4 bodu 15 </w:t>
      </w:r>
      <w:r w:rsidR="00712836" w:rsidRPr="00D3228B">
        <w:rPr>
          <w:rFonts w:cs="Times New Roman"/>
          <w:color w:val="auto"/>
          <w:szCs w:val="24"/>
        </w:rPr>
        <w:t>P</w:t>
      </w:r>
      <w:r w:rsidRPr="00D3228B">
        <w:rPr>
          <w:rFonts w:cs="Times New Roman"/>
          <w:color w:val="auto"/>
          <w:szCs w:val="24"/>
        </w:rPr>
        <w:t xml:space="preserve">řílohu </w:t>
      </w:r>
      <w:r w:rsidR="00712836" w:rsidRPr="00D3228B">
        <w:rPr>
          <w:rFonts w:cs="Times New Roman"/>
          <w:color w:val="auto"/>
          <w:szCs w:val="24"/>
        </w:rPr>
        <w:t>I</w:t>
      </w:r>
      <w:r w:rsidR="00EC331A" w:rsidRPr="00D3228B">
        <w:rPr>
          <w:rFonts w:cs="Times New Roman"/>
          <w:color w:val="auto"/>
          <w:szCs w:val="24"/>
        </w:rPr>
        <w:t xml:space="preserve"> směrnice 2011/83</w:t>
      </w:r>
      <w:r w:rsidR="005B386B">
        <w:rPr>
          <w:rFonts w:cs="Times New Roman"/>
          <w:color w:val="auto"/>
          <w:szCs w:val="24"/>
        </w:rPr>
        <w:t xml:space="preserve">. </w:t>
      </w:r>
      <w:r w:rsidR="006A71F8">
        <w:rPr>
          <w:rFonts w:cs="Times New Roman"/>
          <w:color w:val="auto"/>
          <w:szCs w:val="24"/>
        </w:rPr>
        <w:t xml:space="preserve">Tato změna spočívá zejména v tom, že </w:t>
      </w:r>
      <w:r w:rsidR="006A71F8" w:rsidRPr="000D612A">
        <w:rPr>
          <w:rFonts w:cs="Times New Roman"/>
          <w:color w:val="auto"/>
          <w:szCs w:val="24"/>
        </w:rPr>
        <w:t xml:space="preserve">shodně s novelizovaným čl. </w:t>
      </w:r>
      <w:r w:rsidR="003643C6" w:rsidRPr="000D612A">
        <w:rPr>
          <w:rFonts w:cs="Times New Roman"/>
          <w:color w:val="auto"/>
          <w:szCs w:val="24"/>
        </w:rPr>
        <w:t xml:space="preserve">6 směrnice 2011/83 </w:t>
      </w:r>
      <w:r w:rsidR="006A71F8" w:rsidRPr="000D612A">
        <w:rPr>
          <w:rFonts w:cs="Times New Roman"/>
          <w:color w:val="auto"/>
          <w:szCs w:val="24"/>
        </w:rPr>
        <w:t>není po podnikateli vyžadováno poskytnutí faxového čísla, naopak je postaveno najisto, že e-mailová adresa je vyžadována.</w:t>
      </w:r>
      <w:r w:rsidR="006A71F8">
        <w:rPr>
          <w:rFonts w:cs="Times New Roman"/>
          <w:color w:val="auto"/>
          <w:szCs w:val="24"/>
        </w:rPr>
        <w:t xml:space="preserve"> </w:t>
      </w:r>
      <w:r w:rsidR="003643C6">
        <w:rPr>
          <w:rFonts w:cs="Times New Roman"/>
          <w:color w:val="auto"/>
          <w:szCs w:val="24"/>
        </w:rPr>
        <w:t xml:space="preserve">Směrnice 2019/2161 též </w:t>
      </w:r>
      <w:r w:rsidR="00712836">
        <w:rPr>
          <w:rFonts w:cs="Times New Roman"/>
          <w:color w:val="auto"/>
          <w:szCs w:val="24"/>
        </w:rPr>
        <w:t>dává členským státům legislativní možnost stanovit lhůtu pro odstoupení od smlouvy uzavřené mimo o</w:t>
      </w:r>
      <w:r w:rsidR="00712836" w:rsidRPr="00712836">
        <w:rPr>
          <w:rFonts w:cs="Times New Roman"/>
          <w:color w:val="auto"/>
          <w:szCs w:val="24"/>
        </w:rPr>
        <w:t xml:space="preserve">bchodní prostory </w:t>
      </w:r>
      <w:r w:rsidR="00712836">
        <w:rPr>
          <w:rFonts w:cs="Times New Roman"/>
          <w:color w:val="auto"/>
          <w:szCs w:val="24"/>
        </w:rPr>
        <w:t xml:space="preserve">podnikatele </w:t>
      </w:r>
      <w:r w:rsidR="00712836" w:rsidRPr="00712836">
        <w:rPr>
          <w:rFonts w:cs="Times New Roman"/>
          <w:color w:val="auto"/>
          <w:szCs w:val="24"/>
        </w:rPr>
        <w:t xml:space="preserve">během </w:t>
      </w:r>
      <w:r w:rsidR="00712836" w:rsidRPr="006E7BBD">
        <w:rPr>
          <w:rFonts w:cs="Times New Roman"/>
          <w:color w:val="auto"/>
          <w:szCs w:val="24"/>
        </w:rPr>
        <w:t>výletu</w:t>
      </w:r>
      <w:r w:rsidR="00712836" w:rsidRPr="00712836">
        <w:rPr>
          <w:rFonts w:cs="Times New Roman"/>
          <w:color w:val="auto"/>
          <w:szCs w:val="24"/>
        </w:rPr>
        <w:t xml:space="preserve"> organizovaného podnikatelem </w:t>
      </w:r>
      <w:r w:rsidR="00712836" w:rsidRPr="006E7BBD">
        <w:rPr>
          <w:rFonts w:cs="Times New Roman"/>
          <w:color w:val="auto"/>
          <w:szCs w:val="24"/>
        </w:rPr>
        <w:t>za účelem nebo s</w:t>
      </w:r>
      <w:r w:rsidR="00A34DCB" w:rsidRPr="006E7BBD">
        <w:rPr>
          <w:rFonts w:cs="Times New Roman"/>
          <w:color w:val="auto"/>
          <w:szCs w:val="24"/>
        </w:rPr>
        <w:t> </w:t>
      </w:r>
      <w:r w:rsidR="00712836" w:rsidRPr="006E7BBD">
        <w:rPr>
          <w:rFonts w:cs="Times New Roman"/>
          <w:color w:val="auto"/>
          <w:szCs w:val="24"/>
        </w:rPr>
        <w:t>účinkem propagace</w:t>
      </w:r>
      <w:r w:rsidR="00712836" w:rsidRPr="00712836">
        <w:rPr>
          <w:rFonts w:cs="Times New Roman"/>
          <w:color w:val="auto"/>
          <w:szCs w:val="24"/>
        </w:rPr>
        <w:t xml:space="preserve"> a</w:t>
      </w:r>
      <w:r w:rsidR="005B386B">
        <w:rPr>
          <w:rFonts w:cs="Times New Roman"/>
          <w:color w:val="auto"/>
          <w:szCs w:val="24"/>
        </w:rPr>
        <w:t> p</w:t>
      </w:r>
      <w:r w:rsidR="00712836" w:rsidRPr="00712836">
        <w:rPr>
          <w:rFonts w:cs="Times New Roman"/>
          <w:color w:val="auto"/>
          <w:szCs w:val="24"/>
        </w:rPr>
        <w:t>rodeje zboží nebo poskytování služeb, nebo při nevyžádané návštěvě podnikatele ve spotřebitelově domácnosti</w:t>
      </w:r>
      <w:r w:rsidR="00712836">
        <w:rPr>
          <w:rFonts w:cs="Times New Roman"/>
          <w:color w:val="auto"/>
          <w:szCs w:val="24"/>
        </w:rPr>
        <w:t xml:space="preserve">, </w:t>
      </w:r>
      <w:r w:rsidR="00712836" w:rsidRPr="00180617">
        <w:rPr>
          <w:rFonts w:cs="Times New Roman"/>
          <w:color w:val="auto"/>
          <w:szCs w:val="24"/>
        </w:rPr>
        <w:t>v délce 30 dní, namísto dnešních 14 dní</w:t>
      </w:r>
      <w:r w:rsidR="00306D87" w:rsidRPr="00180617">
        <w:rPr>
          <w:rFonts w:cs="Times New Roman"/>
          <w:color w:val="auto"/>
          <w:szCs w:val="24"/>
        </w:rPr>
        <w:t xml:space="preserve"> </w:t>
      </w:r>
      <w:r w:rsidR="00306D87" w:rsidRPr="000D612A">
        <w:rPr>
          <w:rFonts w:cs="Times New Roman"/>
          <w:color w:val="auto"/>
          <w:szCs w:val="24"/>
        </w:rPr>
        <w:t>(čl. 4 bod 8 a 9 směrnice 2019/2161</w:t>
      </w:r>
      <w:r w:rsidR="00306D87" w:rsidRPr="00180617">
        <w:rPr>
          <w:rFonts w:cs="Times New Roman"/>
          <w:color w:val="auto"/>
          <w:szCs w:val="24"/>
        </w:rPr>
        <w:t>)</w:t>
      </w:r>
      <w:r w:rsidR="00712836" w:rsidRPr="00180617">
        <w:rPr>
          <w:rFonts w:cs="Times New Roman"/>
          <w:color w:val="auto"/>
          <w:szCs w:val="24"/>
        </w:rPr>
        <w:t xml:space="preserve">. </w:t>
      </w:r>
      <w:r w:rsidR="00EC331A" w:rsidRPr="00180617">
        <w:rPr>
          <w:rFonts w:cs="Times New Roman"/>
          <w:color w:val="auto"/>
          <w:szCs w:val="24"/>
        </w:rPr>
        <w:t>Tuto legislativní možnost Č</w:t>
      </w:r>
      <w:r w:rsidR="00A34DCB">
        <w:rPr>
          <w:rFonts w:cs="Times New Roman"/>
          <w:color w:val="auto"/>
          <w:szCs w:val="24"/>
        </w:rPr>
        <w:t xml:space="preserve">eská republika </w:t>
      </w:r>
      <w:r w:rsidR="00EC331A" w:rsidRPr="00180617">
        <w:rPr>
          <w:rFonts w:cs="Times New Roman"/>
          <w:color w:val="auto"/>
          <w:szCs w:val="24"/>
        </w:rPr>
        <w:t xml:space="preserve">využila a v novém § </w:t>
      </w:r>
      <w:proofErr w:type="gramStart"/>
      <w:r w:rsidR="00EC331A" w:rsidRPr="00845EDB">
        <w:rPr>
          <w:rFonts w:cs="Times New Roman"/>
          <w:color w:val="auto"/>
          <w:szCs w:val="24"/>
        </w:rPr>
        <w:t>1829a</w:t>
      </w:r>
      <w:proofErr w:type="gramEnd"/>
      <w:r w:rsidR="00EC331A" w:rsidRPr="00180617">
        <w:rPr>
          <w:rFonts w:cs="Times New Roman"/>
          <w:color w:val="auto"/>
          <w:szCs w:val="24"/>
        </w:rPr>
        <w:t xml:space="preserve"> </w:t>
      </w:r>
      <w:r w:rsidR="00A34DCB">
        <w:rPr>
          <w:rFonts w:cs="Times New Roman"/>
          <w:color w:val="auto"/>
          <w:szCs w:val="24"/>
        </w:rPr>
        <w:t>občanského zákoníku</w:t>
      </w:r>
      <w:r w:rsidR="00EC331A" w:rsidRPr="00180617">
        <w:rPr>
          <w:rFonts w:cs="Times New Roman"/>
          <w:color w:val="auto"/>
          <w:szCs w:val="24"/>
        </w:rPr>
        <w:t xml:space="preserve"> tuto novou lhůtu zavádí</w:t>
      </w:r>
      <w:r w:rsidR="00AB3830" w:rsidRPr="00180617">
        <w:rPr>
          <w:rFonts w:cs="Times New Roman"/>
          <w:color w:val="auto"/>
          <w:szCs w:val="24"/>
        </w:rPr>
        <w:t xml:space="preserve"> </w:t>
      </w:r>
      <w:r w:rsidR="00DC32F4">
        <w:rPr>
          <w:rFonts w:cs="Times New Roman"/>
          <w:color w:val="auto"/>
          <w:szCs w:val="24"/>
        </w:rPr>
        <w:t xml:space="preserve">prostřednictvím zákona č. 374/2022 Sb., </w:t>
      </w:r>
      <w:r w:rsidR="00DC32F4" w:rsidRPr="00DC32F4">
        <w:rPr>
          <w:rFonts w:cs="Times New Roman"/>
          <w:color w:val="auto"/>
          <w:szCs w:val="24"/>
        </w:rPr>
        <w:t>kterým se mění zákon č. 634/1992 Sb., o ochraně spotřebitele, ve znění pozdějších předpisů, a zákon č. 89/2012 Sb., občanský zákoník, ve znění pozdějších předpisů</w:t>
      </w:r>
      <w:r w:rsidR="00DC32F4">
        <w:rPr>
          <w:rFonts w:cs="Times New Roman"/>
          <w:color w:val="auto"/>
          <w:szCs w:val="24"/>
        </w:rPr>
        <w:t xml:space="preserve"> (dále jen „zákon č. 374/2022 Sb.“)</w:t>
      </w:r>
      <w:r w:rsidR="00EC331A" w:rsidRPr="00180617">
        <w:rPr>
          <w:rFonts w:cs="Times New Roman"/>
          <w:color w:val="auto"/>
          <w:szCs w:val="24"/>
        </w:rPr>
        <w:t xml:space="preserve">. Tato změna se nutně musí projevit i ve vzorovém poučení </w:t>
      </w:r>
      <w:r w:rsidR="003643C6">
        <w:rPr>
          <w:rFonts w:cs="Times New Roman"/>
          <w:color w:val="auto"/>
          <w:szCs w:val="24"/>
        </w:rPr>
        <w:t xml:space="preserve">o </w:t>
      </w:r>
      <w:r w:rsidR="000C6597">
        <w:rPr>
          <w:rFonts w:cs="Times New Roman"/>
          <w:color w:val="auto"/>
          <w:szCs w:val="24"/>
        </w:rPr>
        <w:t xml:space="preserve">právu na </w:t>
      </w:r>
      <w:r w:rsidR="00EC331A" w:rsidRPr="00180617">
        <w:rPr>
          <w:rFonts w:cs="Times New Roman"/>
          <w:color w:val="auto"/>
          <w:szCs w:val="24"/>
        </w:rPr>
        <w:t>odstoupení od smlouvy</w:t>
      </w:r>
      <w:r w:rsidR="00E24CB8">
        <w:rPr>
          <w:rFonts w:cs="Times New Roman"/>
          <w:color w:val="auto"/>
          <w:szCs w:val="24"/>
        </w:rPr>
        <w:t xml:space="preserve"> prováděného do</w:t>
      </w:r>
      <w:r w:rsidR="00920F31">
        <w:rPr>
          <w:rFonts w:cs="Times New Roman"/>
          <w:color w:val="auto"/>
          <w:szCs w:val="24"/>
        </w:rPr>
        <w:t> </w:t>
      </w:r>
      <w:r w:rsidR="00E24CB8">
        <w:rPr>
          <w:rFonts w:cs="Times New Roman"/>
          <w:color w:val="auto"/>
          <w:szCs w:val="24"/>
        </w:rPr>
        <w:t>právního řádu Č</w:t>
      </w:r>
      <w:r w:rsidR="00A34DCB">
        <w:rPr>
          <w:rFonts w:cs="Times New Roman"/>
          <w:color w:val="auto"/>
          <w:szCs w:val="24"/>
        </w:rPr>
        <w:t>eské republiky</w:t>
      </w:r>
      <w:r w:rsidR="00EC331A" w:rsidRPr="00180617">
        <w:rPr>
          <w:rFonts w:cs="Times New Roman"/>
          <w:color w:val="auto"/>
          <w:szCs w:val="24"/>
        </w:rPr>
        <w:t>.</w:t>
      </w:r>
    </w:p>
    <w:p w14:paraId="09187F4D" w14:textId="3697DB31" w:rsidR="00567C52" w:rsidRDefault="005319A7" w:rsidP="0036385C">
      <w:pPr>
        <w:rPr>
          <w:rFonts w:cs="Times New Roman"/>
          <w:color w:val="auto"/>
          <w:szCs w:val="24"/>
        </w:rPr>
      </w:pPr>
      <w:r w:rsidRPr="00E41532">
        <w:rPr>
          <w:rFonts w:cs="Times New Roman"/>
          <w:color w:val="auto"/>
          <w:szCs w:val="24"/>
        </w:rPr>
        <w:t xml:space="preserve">Obsahové náležitosti vzorového poučení i formuláře pro odstoupení od smlouvy jsou napříč členskými státy EU shodné, neboť vychází </w:t>
      </w:r>
      <w:r w:rsidR="004B193B">
        <w:rPr>
          <w:rFonts w:cs="Times New Roman"/>
          <w:color w:val="auto"/>
          <w:szCs w:val="24"/>
        </w:rPr>
        <w:t>z</w:t>
      </w:r>
      <w:r w:rsidRPr="00E41532">
        <w:rPr>
          <w:rFonts w:cs="Times New Roman"/>
          <w:color w:val="auto"/>
          <w:szCs w:val="24"/>
        </w:rPr>
        <w:t xml:space="preserve">e směrnice 2011/83, která je </w:t>
      </w:r>
      <w:r w:rsidR="00F27097">
        <w:rPr>
          <w:rFonts w:cs="Times New Roman"/>
          <w:color w:val="auto"/>
          <w:szCs w:val="24"/>
        </w:rPr>
        <w:t xml:space="preserve">podle </w:t>
      </w:r>
      <w:r w:rsidR="00DB33E8">
        <w:rPr>
          <w:rFonts w:cs="Times New Roman"/>
          <w:color w:val="auto"/>
          <w:szCs w:val="24"/>
        </w:rPr>
        <w:t xml:space="preserve">čl. 4 směrnice </w:t>
      </w:r>
      <w:r w:rsidRPr="00D3228B">
        <w:rPr>
          <w:rFonts w:cs="Times New Roman"/>
          <w:color w:val="auto"/>
          <w:szCs w:val="24"/>
        </w:rPr>
        <w:t>plně harmonizovanou</w:t>
      </w:r>
      <w:r w:rsidRPr="00E41532">
        <w:rPr>
          <w:rFonts w:cs="Times New Roman"/>
          <w:color w:val="auto"/>
          <w:szCs w:val="24"/>
        </w:rPr>
        <w:t xml:space="preserve"> směrnicí.</w:t>
      </w:r>
      <w:r>
        <w:rPr>
          <w:rFonts w:cs="Times New Roman"/>
          <w:color w:val="auto"/>
          <w:szCs w:val="24"/>
        </w:rPr>
        <w:t xml:space="preserve"> Návrhem </w:t>
      </w:r>
      <w:r w:rsidR="00567C52">
        <w:rPr>
          <w:rFonts w:cs="Times New Roman"/>
          <w:color w:val="auto"/>
          <w:szCs w:val="24"/>
        </w:rPr>
        <w:t xml:space="preserve">proto v neposlední řadě </w:t>
      </w:r>
      <w:r>
        <w:rPr>
          <w:rFonts w:cs="Times New Roman"/>
          <w:color w:val="auto"/>
          <w:szCs w:val="24"/>
        </w:rPr>
        <w:t xml:space="preserve">dochází k úpravě vizuální podoby formulářů tak, aby co nejvíce odpovídaly požadavkům směrnice, se zohledněním zavedené terminologie příslušné části </w:t>
      </w:r>
      <w:r w:rsidR="00A34DCB">
        <w:rPr>
          <w:rFonts w:cs="Times New Roman"/>
          <w:color w:val="auto"/>
          <w:szCs w:val="24"/>
        </w:rPr>
        <w:t>občanského zákoníku</w:t>
      </w:r>
      <w:r>
        <w:rPr>
          <w:rFonts w:cs="Times New Roman"/>
          <w:color w:val="auto"/>
          <w:szCs w:val="24"/>
        </w:rPr>
        <w:t>.</w:t>
      </w:r>
      <w:r w:rsidR="00567C52">
        <w:rPr>
          <w:rFonts w:cs="Times New Roman"/>
          <w:color w:val="auto"/>
          <w:szCs w:val="24"/>
        </w:rPr>
        <w:t xml:space="preserve"> </w:t>
      </w:r>
    </w:p>
    <w:p w14:paraId="474BE43B" w14:textId="01EAE9EA" w:rsidR="005319A7" w:rsidRDefault="00567C52" w:rsidP="0036385C">
      <w:pPr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Vzhledem k rozsahu navrhovaných změn se navrhuje předložit nový prováděcí předpis a </w:t>
      </w:r>
      <w:r w:rsidRPr="00567C52">
        <w:rPr>
          <w:rFonts w:cs="Times New Roman"/>
          <w:color w:val="auto"/>
          <w:szCs w:val="24"/>
        </w:rPr>
        <w:t xml:space="preserve">nařízení </w:t>
      </w:r>
      <w:r w:rsidR="00A34DCB">
        <w:rPr>
          <w:rFonts w:cs="Times New Roman"/>
          <w:color w:val="auto"/>
          <w:szCs w:val="24"/>
        </w:rPr>
        <w:t>č</w:t>
      </w:r>
      <w:r w:rsidR="00DC32F4">
        <w:rPr>
          <w:rFonts w:cs="Times New Roman"/>
          <w:color w:val="auto"/>
          <w:szCs w:val="24"/>
        </w:rPr>
        <w:t>. </w:t>
      </w:r>
      <w:r w:rsidRPr="00567C52">
        <w:rPr>
          <w:rFonts w:cs="Times New Roman"/>
          <w:color w:val="auto"/>
          <w:szCs w:val="24"/>
        </w:rPr>
        <w:t>363/2013</w:t>
      </w:r>
      <w:r w:rsidR="00A34DCB">
        <w:rPr>
          <w:rFonts w:cs="Times New Roman"/>
          <w:color w:val="auto"/>
          <w:szCs w:val="24"/>
        </w:rPr>
        <w:t xml:space="preserve"> Sb.</w:t>
      </w:r>
      <w:r>
        <w:rPr>
          <w:rFonts w:cs="Times New Roman"/>
          <w:color w:val="auto"/>
          <w:szCs w:val="24"/>
        </w:rPr>
        <w:t xml:space="preserve"> zrušit.</w:t>
      </w:r>
    </w:p>
    <w:p w14:paraId="785E53ED" w14:textId="58E07BB6" w:rsidR="001B6D88" w:rsidRPr="001B6D88" w:rsidRDefault="00DE6E3B" w:rsidP="0036385C">
      <w:r w:rsidRPr="00180617">
        <w:t>Předkládaný návrh je v souladu s ústavním pořádkem České republiky, zejména s čl. 2 od</w:t>
      </w:r>
      <w:r w:rsidRPr="00DE6E3B">
        <w:t>st. 2 Listiny základních práv a svobod (státní moc lze uplatňovat jen v případech a v mezích stanovených zákonem, a to způsobem, který zákon stanoví) a s čl. 4 odst. 1 Listiny základních práv a svobod (povinnosti mohou být ukládány toliko na základě zákona a v jeho mezích a jen při zachování základních práv a svobod).</w:t>
      </w:r>
    </w:p>
    <w:p w14:paraId="55C6A8FA" w14:textId="77777777" w:rsidR="00467DD6" w:rsidRPr="005F4A13" w:rsidRDefault="00F44DAE" w:rsidP="005F4A13">
      <w:pPr>
        <w:pStyle w:val="Nadpiss"/>
      </w:pPr>
      <w:r w:rsidRPr="005F4A13">
        <w:t>Z</w:t>
      </w:r>
      <w:r w:rsidR="00FA69C7" w:rsidRPr="005F4A13">
        <w:t>hodnocení souladu navrhované právní úpravy se zákonem, k jehož provedení je</w:t>
      </w:r>
      <w:r w:rsidR="00467DD6" w:rsidRPr="005F4A13">
        <w:t xml:space="preserve"> </w:t>
      </w:r>
      <w:r w:rsidR="00FA69C7" w:rsidRPr="005F4A13">
        <w:t>navržena, včetně souladu se zákonným zmocněním k jejímu vydání</w:t>
      </w:r>
    </w:p>
    <w:p w14:paraId="414D5EA7" w14:textId="6FD985D0" w:rsidR="00DE6E3B" w:rsidRDefault="005F4A13" w:rsidP="00822239">
      <w:r w:rsidRPr="005F4A13">
        <w:t xml:space="preserve">Návrh nařízení nepřekračuje zákonné zmocnění vlády k vydání tohoto předpisu. </w:t>
      </w:r>
      <w:r w:rsidR="00DE6E3B" w:rsidRPr="00DE6E3B">
        <w:t>Navrhovaná právní úprava je v souladu s</w:t>
      </w:r>
      <w:r w:rsidR="00DE6E3B">
        <w:t xml:space="preserve"> občanským zákoníkem </w:t>
      </w:r>
      <w:r w:rsidR="00DE6E3B" w:rsidRPr="00EF26A8">
        <w:t xml:space="preserve">ve znění </w:t>
      </w:r>
      <w:r w:rsidR="00DC32F4">
        <w:t>zákona č. 374/2022 Sb.</w:t>
      </w:r>
      <w:r w:rsidR="00DE6E3B" w:rsidRPr="00EF26A8">
        <w:t>,</w:t>
      </w:r>
      <w:r w:rsidR="00DE6E3B">
        <w:t xml:space="preserve"> </w:t>
      </w:r>
      <w:r w:rsidR="00DE6E3B" w:rsidRPr="00DE6E3B">
        <w:t xml:space="preserve">jehož obsahem je zmocňovací ustanovení k vydání prováděcího právního předpisu, který stanoví náležitosti vzorového </w:t>
      </w:r>
      <w:r w:rsidR="00DE6E3B" w:rsidRPr="00DE6E3B">
        <w:lastRenderedPageBreak/>
        <w:t>formuláře pro odstoupení od smlouvy a údaje, které má obsahovat vzorové poučení o právu na</w:t>
      </w:r>
      <w:r w:rsidR="00920F31">
        <w:t> </w:t>
      </w:r>
      <w:r w:rsidR="00DE6E3B" w:rsidRPr="00DE6E3B">
        <w:t xml:space="preserve">odstoupení od smlouvy </w:t>
      </w:r>
      <w:r w:rsidR="0036385C">
        <w:t xml:space="preserve">podle </w:t>
      </w:r>
      <w:r w:rsidR="00DE6E3B" w:rsidRPr="00DE6E3B">
        <w:t xml:space="preserve">§ 1820 odst. 1 písm. </w:t>
      </w:r>
      <w:r w:rsidR="00DE6E3B">
        <w:t>i</w:t>
      </w:r>
      <w:r w:rsidR="000A090B">
        <w:t>)</w:t>
      </w:r>
      <w:r w:rsidR="00DE6E3B" w:rsidRPr="00DE6E3B">
        <w:t xml:space="preserve"> a § 1820 odst. 2</w:t>
      </w:r>
      <w:r w:rsidR="00DE6E3B">
        <w:t xml:space="preserve"> </w:t>
      </w:r>
      <w:r w:rsidR="00A34DCB">
        <w:rPr>
          <w:rFonts w:cs="Times New Roman"/>
          <w:color w:val="auto"/>
          <w:szCs w:val="24"/>
        </w:rPr>
        <w:t>občanského zákoníku</w:t>
      </w:r>
      <w:r w:rsidR="00DE6E3B" w:rsidRPr="00DE6E3B">
        <w:t>.</w:t>
      </w:r>
    </w:p>
    <w:p w14:paraId="503512B8" w14:textId="77777777" w:rsidR="00467DD6" w:rsidRPr="005F4A13" w:rsidRDefault="00F44DAE" w:rsidP="005F4A13">
      <w:pPr>
        <w:pStyle w:val="Nadpiss"/>
      </w:pPr>
      <w:r w:rsidRPr="005F4A13">
        <w:t>Z</w:t>
      </w:r>
      <w:r w:rsidR="00FA69C7" w:rsidRPr="005F4A13">
        <w:t>hodnocení souladu navrhované právní úpravy s předpisy Evropské unie,</w:t>
      </w:r>
      <w:r w:rsidR="00467DD6" w:rsidRPr="005F4A13">
        <w:t xml:space="preserve"> </w:t>
      </w:r>
      <w:r w:rsidR="00FA69C7" w:rsidRPr="005F4A13">
        <w:t>judikaturou soudních orgánů Evropské unie a obecnými právními zásadami</w:t>
      </w:r>
      <w:r w:rsidR="00467DD6" w:rsidRPr="005F4A13">
        <w:t xml:space="preserve"> </w:t>
      </w:r>
      <w:r w:rsidR="00FA69C7" w:rsidRPr="005F4A13">
        <w:t>práva Evropské unie, judikatury soudních orgánů Evropské unie a obecných</w:t>
      </w:r>
      <w:r w:rsidR="00467DD6" w:rsidRPr="005F4A13">
        <w:t xml:space="preserve"> </w:t>
      </w:r>
      <w:r w:rsidR="00FA69C7" w:rsidRPr="005F4A13">
        <w:t>právních zásad práva Evropské unie a jejich základní charakteristiky</w:t>
      </w:r>
    </w:p>
    <w:p w14:paraId="6AE60DFA" w14:textId="501333BB" w:rsidR="0099751F" w:rsidRDefault="00E907C2" w:rsidP="00DB17DA">
      <w:r>
        <w:t>Předložen</w:t>
      </w:r>
      <w:r w:rsidR="00A64BDD">
        <w:t>ý</w:t>
      </w:r>
      <w:r>
        <w:t xml:space="preserve"> návrh nařízení vlády je plně slučitelný s právem EU, konkrétně se směrnici 2011/83 a</w:t>
      </w:r>
      <w:r w:rsidR="00FF66E7">
        <w:t> </w:t>
      </w:r>
      <w:r>
        <w:t xml:space="preserve">směrnicí 2019/2161. </w:t>
      </w:r>
      <w:r w:rsidR="005F4A13" w:rsidRPr="005F4A13">
        <w:t>Návrh nařízení není v rozporu s judikaturou Soudního dvora EU ani obecnými zásadami práva Evropské unie.</w:t>
      </w:r>
      <w:r w:rsidR="00B10C91" w:rsidRPr="00B10C91">
        <w:t xml:space="preserve"> </w:t>
      </w:r>
      <w:r w:rsidR="00DB17DA">
        <w:t>Návrhu nařízení vlády se dotýká řízení o porušení S</w:t>
      </w:r>
      <w:r w:rsidR="009A5372">
        <w:t>mlouvy o</w:t>
      </w:r>
      <w:r w:rsidR="0077042B">
        <w:t> </w:t>
      </w:r>
      <w:r w:rsidR="009A5372">
        <w:t xml:space="preserve">fungování </w:t>
      </w:r>
      <w:r w:rsidR="00DB17DA">
        <w:t>EU, konkrétně formální řízení č. 2022/0044 týkající se neoznámení úplných transpozičních předpisů směrnice 2019/2161.</w:t>
      </w:r>
    </w:p>
    <w:p w14:paraId="6E0AA431" w14:textId="77777777" w:rsidR="00FA69C7" w:rsidRPr="005F4A13" w:rsidRDefault="00F44DAE" w:rsidP="005F4A13">
      <w:pPr>
        <w:pStyle w:val="Nadpiss"/>
      </w:pPr>
      <w:r w:rsidRPr="005F4A13">
        <w:t>P</w:t>
      </w:r>
      <w:r w:rsidR="00FA69C7" w:rsidRPr="005F4A13">
        <w:t>ředpokládaný hospodářský a finanční dopad navrhované právní úpravy na státní</w:t>
      </w:r>
      <w:r w:rsidR="00467DD6" w:rsidRPr="005F4A13">
        <w:t xml:space="preserve"> </w:t>
      </w:r>
      <w:r w:rsidR="00FA69C7" w:rsidRPr="005F4A13">
        <w:t>rozpočet, ostatní veřejné rozpočty, na podnikatelské prostředí České republiky,</w:t>
      </w:r>
      <w:r w:rsidR="00467DD6" w:rsidRPr="005F4A13">
        <w:t xml:space="preserve"> </w:t>
      </w:r>
      <w:r w:rsidR="00FA69C7" w:rsidRPr="005F4A13">
        <w:t>dále sociální dopady, včetně dopadů na rodiny a dopadů na specifické skupiny</w:t>
      </w:r>
      <w:r w:rsidR="00467DD6" w:rsidRPr="005F4A13">
        <w:t xml:space="preserve"> </w:t>
      </w:r>
      <w:r w:rsidR="00FA69C7" w:rsidRPr="005F4A13">
        <w:t>obyvatel, zejména osoby sociálně slabé, osoby se zdravotním postižením</w:t>
      </w:r>
      <w:r w:rsidR="00467DD6" w:rsidRPr="005F4A13">
        <w:t xml:space="preserve"> </w:t>
      </w:r>
      <w:r w:rsidR="00FA69C7" w:rsidRPr="005F4A13">
        <w:t>a národnostní menšiny, a dopady na životní prostředí</w:t>
      </w:r>
    </w:p>
    <w:p w14:paraId="4B1C828D" w14:textId="2966E966" w:rsidR="00294D5C" w:rsidRDefault="00294D5C" w:rsidP="00FE06E4">
      <w:r w:rsidRPr="00294D5C">
        <w:t>Navrhovan</w:t>
      </w:r>
      <w:r>
        <w:t xml:space="preserve">é nařízení vlády </w:t>
      </w:r>
      <w:r w:rsidRPr="00294D5C">
        <w:t>by neměl</w:t>
      </w:r>
      <w:r>
        <w:t>o</w:t>
      </w:r>
      <w:r w:rsidRPr="00294D5C">
        <w:t xml:space="preserve"> mít žádné bezprostřední dopady na státní rozpočet ani na</w:t>
      </w:r>
      <w:r w:rsidR="00920F31">
        <w:t> </w:t>
      </w:r>
      <w:r w:rsidRPr="00294D5C">
        <w:t>ostatní veřejné rozpočty</w:t>
      </w:r>
      <w:r>
        <w:t xml:space="preserve">. </w:t>
      </w:r>
    </w:p>
    <w:p w14:paraId="3B34F3D9" w14:textId="0028EF8B" w:rsidR="00294D5C" w:rsidRDefault="00294D5C" w:rsidP="00FE06E4">
      <w:r>
        <w:t>Zavedení</w:t>
      </w:r>
      <w:r w:rsidR="004E536B">
        <w:t xml:space="preserve"> </w:t>
      </w:r>
      <w:r>
        <w:t xml:space="preserve">upraveného vzorového poučení o právu na odstoupení od smlouvy a formuláře pro uplatnění tohoto práva bude vyžadovat, </w:t>
      </w:r>
      <w:r w:rsidRPr="00294D5C">
        <w:t>aby podnikatelé</w:t>
      </w:r>
      <w:r w:rsidR="004E536B">
        <w:t xml:space="preserve"> stávající poučení a formuláře náležitě upravili. Využití vzorového poučení o právu na odstoupení od smlouvy není pro podnikatele povinné. Využitím tohoto vzorového poučení a vzorového formuláře pro odstoupení od smlouvy se správně vyplněnými údaji jim dá jistotu, že povinnost sdělit povinné údaje o právu na odstoupení podle § 1820 </w:t>
      </w:r>
      <w:r w:rsidR="00A34DCB">
        <w:rPr>
          <w:rFonts w:cs="Times New Roman"/>
          <w:color w:val="auto"/>
          <w:szCs w:val="24"/>
        </w:rPr>
        <w:t>občanského zákoníku</w:t>
      </w:r>
      <w:r w:rsidR="004E536B">
        <w:t xml:space="preserve"> bude tímto splněn</w:t>
      </w:r>
      <w:r w:rsidR="00165034">
        <w:t>a</w:t>
      </w:r>
      <w:r w:rsidR="004E536B">
        <w:t xml:space="preserve">. </w:t>
      </w:r>
      <w:r w:rsidRPr="00294D5C">
        <w:t xml:space="preserve">V případě porušení </w:t>
      </w:r>
      <w:r w:rsidR="004E536B">
        <w:t xml:space="preserve">této povinnosti </w:t>
      </w:r>
      <w:r w:rsidRPr="00294D5C">
        <w:t>budou vystaveni veřejnoprávní kontrole a případnému správnímu trestu</w:t>
      </w:r>
      <w:r w:rsidR="004E536B">
        <w:t>.</w:t>
      </w:r>
      <w:r w:rsidRPr="00294D5C">
        <w:t xml:space="preserve"> </w:t>
      </w:r>
    </w:p>
    <w:p w14:paraId="4A93C60F" w14:textId="49431BEE" w:rsidR="006741FD" w:rsidRDefault="00FE06E4" w:rsidP="00FE06E4">
      <w:r w:rsidRPr="00FE06E4">
        <w:t>Navrhova</w:t>
      </w:r>
      <w:r w:rsidR="00747AB3">
        <w:t>né nařízení vlády</w:t>
      </w:r>
      <w:r w:rsidRPr="00FE06E4">
        <w:t xml:space="preserve"> bude mít pozitivní dopad na </w:t>
      </w:r>
      <w:r>
        <w:t>spotřebitele</w:t>
      </w:r>
      <w:r w:rsidRPr="00FE06E4">
        <w:t>, kteří nakupují v on-line prostředí</w:t>
      </w:r>
      <w:r>
        <w:t xml:space="preserve"> nebo uzavírají smlouvy mimo obchodní prostory </w:t>
      </w:r>
      <w:r w:rsidR="006A266F">
        <w:t>podnikatele</w:t>
      </w:r>
      <w:r>
        <w:t>, a to zejména tím, že vzorové poučení o jejich právu na odstoupení od smlouvy a využití vzorového formuláře</w:t>
      </w:r>
      <w:r w:rsidR="006741FD">
        <w:t xml:space="preserve"> </w:t>
      </w:r>
      <w:r>
        <w:t xml:space="preserve">pro odstoupení od smlouvy </w:t>
      </w:r>
      <w:r w:rsidR="006741FD">
        <w:t xml:space="preserve">jim ulehčí od těchto smluv odstoupit. </w:t>
      </w:r>
    </w:p>
    <w:p w14:paraId="5965B0BB" w14:textId="3110AC5B" w:rsidR="00747AB3" w:rsidRDefault="00747AB3" w:rsidP="00FE06E4">
      <w:r>
        <w:t>Navrhované nařízení vlády nebude mít ž</w:t>
      </w:r>
      <w:r w:rsidRPr="001B2E6B">
        <w:t>ádné dopady na specifické skupiny obyvatel (zejm. osoby sociálně slabé, osoby se zdravotním postižením a</w:t>
      </w:r>
      <w:r>
        <w:t> </w:t>
      </w:r>
      <w:r w:rsidRPr="001B2E6B">
        <w:t>národnostní menšiny) a</w:t>
      </w:r>
      <w:r>
        <w:t> </w:t>
      </w:r>
      <w:r w:rsidRPr="001B2E6B">
        <w:t xml:space="preserve">ani na životní prostředí. </w:t>
      </w:r>
    </w:p>
    <w:p w14:paraId="0F80471F" w14:textId="77777777" w:rsidR="00467DD6" w:rsidRPr="005F4A13" w:rsidRDefault="006B31D7" w:rsidP="005F4A13">
      <w:pPr>
        <w:pStyle w:val="Nadpiss"/>
      </w:pPr>
      <w:r w:rsidRPr="005F4A13">
        <w:t>Z</w:t>
      </w:r>
      <w:r w:rsidR="00FA69C7" w:rsidRPr="005F4A13">
        <w:t>hodnocení současného stavu a dopadů navrhovaného řešení ve vztahu k</w:t>
      </w:r>
      <w:r w:rsidR="00467DD6" w:rsidRPr="005F4A13">
        <w:t> </w:t>
      </w:r>
      <w:r w:rsidR="00FA69C7" w:rsidRPr="005F4A13">
        <w:t>zákazu</w:t>
      </w:r>
      <w:r w:rsidR="00467DD6" w:rsidRPr="005F4A13">
        <w:t xml:space="preserve"> </w:t>
      </w:r>
      <w:r w:rsidR="00FA69C7" w:rsidRPr="005F4A13">
        <w:t>diskriminace a ve vztahu k rovnosti mužů a žen</w:t>
      </w:r>
    </w:p>
    <w:p w14:paraId="473533D9" w14:textId="77777777" w:rsidR="00467DD6" w:rsidRPr="005F4A13" w:rsidRDefault="00A15BD4" w:rsidP="00E907C2">
      <w:r w:rsidRPr="00A15BD4">
        <w:t>Navrhované nařízení vlády není v rozporu se zásadou zákazu diskriminace.</w:t>
      </w:r>
    </w:p>
    <w:p w14:paraId="5F12DF86" w14:textId="77777777" w:rsidR="00FA69C7" w:rsidRPr="005F4A13" w:rsidRDefault="006B31D7" w:rsidP="005F4A13">
      <w:pPr>
        <w:pStyle w:val="Nadpiss"/>
      </w:pPr>
      <w:r w:rsidRPr="005F4A13">
        <w:lastRenderedPageBreak/>
        <w:t>Z</w:t>
      </w:r>
      <w:r w:rsidR="00FA69C7" w:rsidRPr="005F4A13">
        <w:t>hodnocení dopadů navrhovaného řešení ve vztahu k ochraně soukromí</w:t>
      </w:r>
      <w:r w:rsidR="00467DD6" w:rsidRPr="005F4A13">
        <w:t xml:space="preserve"> </w:t>
      </w:r>
      <w:r w:rsidR="00FA69C7" w:rsidRPr="005F4A13">
        <w:t>a osobních údajů,</w:t>
      </w:r>
    </w:p>
    <w:p w14:paraId="2E2E6EDC" w14:textId="743A1BFC" w:rsidR="00E37E76" w:rsidRDefault="00E37E76" w:rsidP="00E37E76">
      <w:r>
        <w:t>Navrhované nařízení vlády nemá ve vztahu k ochraně soukromí a osobních údajů přímé dopady a nepřinášejí žádná nová práva ani povinnosti adresátů právní úpravy ve vztahu k této problematice.</w:t>
      </w:r>
    </w:p>
    <w:p w14:paraId="721613C2" w14:textId="2B9BD55E" w:rsidR="00467DD6" w:rsidRDefault="00E37E76" w:rsidP="00E37E76">
      <w:r>
        <w:t xml:space="preserve">Navrhované nařízení vlády </w:t>
      </w:r>
      <w:r w:rsidRPr="00E37E76">
        <w:t xml:space="preserve">neupravuje podmínky pro zákonné zpracování osobních údajů, neboť tato otázka je upravena zejména </w:t>
      </w:r>
      <w:r w:rsidR="00BF37B2">
        <w:t>n</w:t>
      </w:r>
      <w:r w:rsidR="00BF37B2" w:rsidRPr="00BF37B2">
        <w:t>ařízení</w:t>
      </w:r>
      <w:r w:rsidR="00BF37B2">
        <w:t>m</w:t>
      </w:r>
      <w:r w:rsidR="00BF37B2" w:rsidRPr="00BF37B2">
        <w:t xml:space="preserve"> Evropského parlamentu a Rady (EU) 2016/679 ze dne 27.</w:t>
      </w:r>
      <w:r w:rsidR="00BF37B2">
        <w:t> </w:t>
      </w:r>
      <w:r w:rsidR="00BF37B2" w:rsidRPr="00BF37B2">
        <w:t>dubna 2016 o ochraně fyzických osob v souvislosti se zpracováním osobních údajů a o volném pohybu těchto údajů a o zrušení směrnice 95/46/ES (</w:t>
      </w:r>
      <w:r w:rsidRPr="00BF37B2">
        <w:t>obecným nařízením o ochraně osobních údajů</w:t>
      </w:r>
      <w:r w:rsidR="00BF37B2" w:rsidRPr="000D612A">
        <w:t>)</w:t>
      </w:r>
      <w:r w:rsidRPr="00BF37B2">
        <w:t>.</w:t>
      </w:r>
      <w:r w:rsidRPr="00E37E76">
        <w:t xml:space="preserve"> V důsledku toho je jakékoli zpracování osobních údajů spadající do oblasti působnosti této směrnice zákonné pouze tehdy, pokud je v souladu s</w:t>
      </w:r>
      <w:r w:rsidR="006A266F">
        <w:t> obecným nařízením o ochraně osobních údajů</w:t>
      </w:r>
      <w:r w:rsidRPr="00E37E76">
        <w:t>.</w:t>
      </w:r>
    </w:p>
    <w:p w14:paraId="371175B1" w14:textId="77777777" w:rsidR="00E37E76" w:rsidRDefault="00E37E76" w:rsidP="00E37E76">
      <w:r>
        <w:t>Nepřímé dopady na ochranu osobních údajů lze předpokládat v případě ustanovení o spotřebitelských smlouvách v občanském zákoníku. Vyplývá to z toho, že smlouvy uzavřené na základě dotčených ustanovení budou základem pro zpracovávání osobních údajů.</w:t>
      </w:r>
    </w:p>
    <w:p w14:paraId="33DCC5F1" w14:textId="5E69DB8B" w:rsidR="00E37E76" w:rsidRDefault="00E37E76" w:rsidP="00E37E76">
      <w:r>
        <w:t>Osobní údaje jsou v rámci dotčených spotřebitelských smluv zpracovávány zejména na základě čl.</w:t>
      </w:r>
      <w:r w:rsidR="00784134">
        <w:t> </w:t>
      </w:r>
      <w:r>
        <w:t>6</w:t>
      </w:r>
      <w:r w:rsidR="00784134">
        <w:t> </w:t>
      </w:r>
      <w:r>
        <w:t xml:space="preserve">odst. 1 písm. a) a b) </w:t>
      </w:r>
      <w:r w:rsidR="006A266F">
        <w:t>obecného nařízení o ochraně osobních údajů</w:t>
      </w:r>
      <w:r>
        <w:t>. Jde o situaci, kdy subjekt údajů udělil souhlas se zpracováním svých osobních údajů a situaci, kdy je zpracování nezbytné pro splnění smlouvy, jejíž smluvní stranou je subjekt údajů, nebo pro splnění zákonné povinnosti podnikatele</w:t>
      </w:r>
      <w:r w:rsidR="009B5DB1">
        <w:t xml:space="preserve"> související například se zasláním spotřebiteli potvrzení o odstoupení od smlouvy, které </w:t>
      </w:r>
      <w:r w:rsidR="00E54344">
        <w:t xml:space="preserve">spotřebitel </w:t>
      </w:r>
      <w:r w:rsidR="009B5DB1">
        <w:t xml:space="preserve">podnikateli oznámil prostřednictvím vyplnění on-line vzorového formuláře </w:t>
      </w:r>
      <w:r w:rsidR="00E54344">
        <w:t>dostupného</w:t>
      </w:r>
      <w:r w:rsidR="009B5DB1">
        <w:t xml:space="preserve"> na stránkách podnikatele. </w:t>
      </w:r>
    </w:p>
    <w:p w14:paraId="5400F1E3" w14:textId="77777777" w:rsidR="00FA69C7" w:rsidRPr="005F4A13" w:rsidRDefault="006B31D7" w:rsidP="005F4A13">
      <w:pPr>
        <w:pStyle w:val="Nadpiss"/>
      </w:pPr>
      <w:r w:rsidRPr="005F4A13">
        <w:t>Z</w:t>
      </w:r>
      <w:r w:rsidR="00FA69C7" w:rsidRPr="005F4A13">
        <w:t>hodnocení korupčních rizik,</w:t>
      </w:r>
      <w:r w:rsidR="00467DD6" w:rsidRPr="005F4A13">
        <w:t xml:space="preserve"> </w:t>
      </w:r>
    </w:p>
    <w:p w14:paraId="434C6768" w14:textId="77777777" w:rsidR="00467DD6" w:rsidRPr="005F4A13" w:rsidRDefault="00E907C2" w:rsidP="00E907C2">
      <w:r w:rsidRPr="00E907C2">
        <w:t>Z hlediska možných korupčních rizik je třeba uvést, že předkládané nařízení vlády nevytváří prostor pro korupční rizika.</w:t>
      </w:r>
    </w:p>
    <w:p w14:paraId="6527E7BB" w14:textId="22B52942" w:rsidR="00FA69C7" w:rsidRDefault="006B31D7" w:rsidP="00F940EB">
      <w:pPr>
        <w:pStyle w:val="Nadpiss"/>
      </w:pPr>
      <w:r w:rsidRPr="005F4A13">
        <w:t>Z</w:t>
      </w:r>
      <w:r w:rsidR="00FA69C7" w:rsidRPr="005F4A13">
        <w:t>hodnocení dopadů na bezpečnost nebo obranu státu.</w:t>
      </w:r>
    </w:p>
    <w:p w14:paraId="64533365" w14:textId="708DF8AB" w:rsidR="009B5DB1" w:rsidRPr="00282E21" w:rsidRDefault="009B5DB1" w:rsidP="009B5DB1">
      <w:r w:rsidRPr="00282E21">
        <w:t>Navrhovan</w:t>
      </w:r>
      <w:r>
        <w:t xml:space="preserve">é nařízení vlády z povahy věci </w:t>
      </w:r>
      <w:r w:rsidRPr="00282E21">
        <w:t>neobsahuje žádné ustanovení, které by mělo dopad na</w:t>
      </w:r>
      <w:r w:rsidR="00920F31">
        <w:t> </w:t>
      </w:r>
      <w:r w:rsidRPr="00282E21">
        <w:t>bezpečnost nebo obranu státu.</w:t>
      </w:r>
    </w:p>
    <w:p w14:paraId="1555D446" w14:textId="77777777" w:rsidR="00F940EB" w:rsidRPr="00282E21" w:rsidRDefault="00F940EB" w:rsidP="00F940EB">
      <w:pPr>
        <w:pStyle w:val="Nadpiss"/>
      </w:pPr>
      <w:r w:rsidRPr="00282E21">
        <w:t>Zhodnocení souladu navrhované právní úpravy se Zásadami pro tvorbu digitálně přívětivé legislativy</w:t>
      </w:r>
    </w:p>
    <w:p w14:paraId="3C8BFEED" w14:textId="77777777" w:rsidR="00107508" w:rsidRDefault="00107508" w:rsidP="00107508">
      <w:r>
        <w:t xml:space="preserve">Navrhovaná právní úprava není v rozporu se Zásadami digitálně přívětivé legislativy. </w:t>
      </w:r>
    </w:p>
    <w:p w14:paraId="1AFC83A6" w14:textId="46025F0B" w:rsidR="009B5DB1" w:rsidRDefault="00107508" w:rsidP="00107508">
      <w:r>
        <w:t>Navrhovaná právní úprava nemá přímou souvislost s digitální agendou.</w:t>
      </w:r>
    </w:p>
    <w:p w14:paraId="300B34C0" w14:textId="0A9FCED4" w:rsidR="000448B3" w:rsidRPr="000448B3" w:rsidRDefault="000448B3" w:rsidP="000448B3">
      <w:pPr>
        <w:pStyle w:val="Nadpiss"/>
      </w:pPr>
      <w:r>
        <w:t>Hodnocení dopadů regulace</w:t>
      </w:r>
    </w:p>
    <w:p w14:paraId="38F37B93" w14:textId="0299A2CB" w:rsidR="000448B3" w:rsidRPr="00CD769C" w:rsidRDefault="00942C4C" w:rsidP="00FF2DE6">
      <w:pPr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Návrhem se stanoví </w:t>
      </w:r>
      <w:r w:rsidR="000448B3" w:rsidRPr="000448B3">
        <w:rPr>
          <w:rFonts w:cs="Times New Roman"/>
          <w:szCs w:val="24"/>
        </w:rPr>
        <w:t xml:space="preserve">vzorové poučení </w:t>
      </w:r>
      <w:r w:rsidR="006A266F">
        <w:rPr>
          <w:rFonts w:cs="Times New Roman"/>
          <w:szCs w:val="24"/>
        </w:rPr>
        <w:t xml:space="preserve">o </w:t>
      </w:r>
      <w:r w:rsidR="00165034">
        <w:rPr>
          <w:rFonts w:cs="Times New Roman"/>
          <w:szCs w:val="24"/>
        </w:rPr>
        <w:t xml:space="preserve">právu na </w:t>
      </w:r>
      <w:r w:rsidR="006A266F">
        <w:rPr>
          <w:rFonts w:cs="Times New Roman"/>
          <w:szCs w:val="24"/>
        </w:rPr>
        <w:t xml:space="preserve">odstoupení od smlouvy </w:t>
      </w:r>
      <w:r w:rsidR="000448B3">
        <w:rPr>
          <w:rFonts w:cs="Times New Roman"/>
          <w:szCs w:val="24"/>
        </w:rPr>
        <w:t>a</w:t>
      </w:r>
      <w:r w:rsidR="000448B3" w:rsidRPr="000448B3">
        <w:rPr>
          <w:rFonts w:cs="Times New Roman"/>
          <w:szCs w:val="24"/>
        </w:rPr>
        <w:t xml:space="preserve"> </w:t>
      </w:r>
      <w:r w:rsidR="006A266F">
        <w:rPr>
          <w:rFonts w:cs="Times New Roman"/>
          <w:szCs w:val="24"/>
        </w:rPr>
        <w:t xml:space="preserve">vzorový </w:t>
      </w:r>
      <w:r w:rsidR="000448B3" w:rsidRPr="000448B3">
        <w:rPr>
          <w:rFonts w:cs="Times New Roman"/>
          <w:szCs w:val="24"/>
        </w:rPr>
        <w:t>formulář pro</w:t>
      </w:r>
      <w:r w:rsidR="00920F31">
        <w:rPr>
          <w:rFonts w:cs="Times New Roman"/>
          <w:szCs w:val="24"/>
        </w:rPr>
        <w:t> </w:t>
      </w:r>
      <w:r w:rsidR="000448B3" w:rsidRPr="000448B3">
        <w:rPr>
          <w:rFonts w:cs="Times New Roman"/>
          <w:szCs w:val="24"/>
        </w:rPr>
        <w:t xml:space="preserve">odstoupení </w:t>
      </w:r>
      <w:r>
        <w:rPr>
          <w:rFonts w:cs="Times New Roman"/>
          <w:szCs w:val="24"/>
        </w:rPr>
        <w:t xml:space="preserve">od smlouvy. </w:t>
      </w:r>
      <w:r w:rsidR="006A266F">
        <w:rPr>
          <w:rFonts w:cs="Times New Roman"/>
          <w:szCs w:val="24"/>
        </w:rPr>
        <w:t>O</w:t>
      </w:r>
      <w:r>
        <w:rPr>
          <w:rFonts w:cs="Times New Roman"/>
          <w:szCs w:val="24"/>
        </w:rPr>
        <w:t xml:space="preserve">bsahové </w:t>
      </w:r>
      <w:r w:rsidRPr="00942C4C">
        <w:rPr>
          <w:rFonts w:cs="Times New Roman"/>
          <w:szCs w:val="24"/>
        </w:rPr>
        <w:t>i</w:t>
      </w:r>
      <w:r>
        <w:rPr>
          <w:rFonts w:cs="Times New Roman"/>
          <w:szCs w:val="24"/>
        </w:rPr>
        <w:t> f</w:t>
      </w:r>
      <w:r w:rsidRPr="00942C4C">
        <w:rPr>
          <w:rFonts w:cs="Times New Roman"/>
          <w:szCs w:val="24"/>
        </w:rPr>
        <w:t>ormální náležitosti</w:t>
      </w:r>
      <w:r w:rsidR="006A266F">
        <w:rPr>
          <w:rFonts w:cs="Times New Roman"/>
          <w:szCs w:val="24"/>
        </w:rPr>
        <w:t xml:space="preserve"> formulářů</w:t>
      </w:r>
      <w:r w:rsidRPr="00942C4C">
        <w:rPr>
          <w:rFonts w:cs="Times New Roman"/>
          <w:szCs w:val="24"/>
        </w:rPr>
        <w:t xml:space="preserve"> </w:t>
      </w:r>
      <w:r w:rsidR="000448B3" w:rsidRPr="000448B3">
        <w:rPr>
          <w:rFonts w:cs="Times New Roman"/>
          <w:szCs w:val="24"/>
        </w:rPr>
        <w:t>jsou dané směrnicí 2011/83 ve znění směrnice</w:t>
      </w:r>
      <w:r w:rsidR="006A266F">
        <w:rPr>
          <w:rFonts w:cs="Times New Roman"/>
          <w:szCs w:val="24"/>
        </w:rPr>
        <w:t xml:space="preserve"> </w:t>
      </w:r>
      <w:r w:rsidR="000448B3" w:rsidRPr="000448B3">
        <w:rPr>
          <w:rFonts w:cs="Times New Roman"/>
          <w:szCs w:val="24"/>
        </w:rPr>
        <w:t>2019/2161</w:t>
      </w:r>
      <w:r>
        <w:rPr>
          <w:rFonts w:cs="Times New Roman"/>
          <w:szCs w:val="24"/>
        </w:rPr>
        <w:t>, které jsou plně harmonizovanými směrnicemi. To znamená, že č</w:t>
      </w:r>
      <w:r w:rsidR="000448B3" w:rsidRPr="000448B3">
        <w:rPr>
          <w:rFonts w:cs="Times New Roman"/>
          <w:szCs w:val="24"/>
        </w:rPr>
        <w:t>lenské státy nemohou přijmout nebo ponechat úpravu rozdílnou</w:t>
      </w:r>
      <w:r>
        <w:rPr>
          <w:rFonts w:cs="Times New Roman"/>
          <w:szCs w:val="24"/>
        </w:rPr>
        <w:t>. Proto p</w:t>
      </w:r>
      <w:r w:rsidR="000448B3" w:rsidRPr="00CD769C">
        <w:rPr>
          <w:rFonts w:cs="Times New Roman"/>
          <w:szCs w:val="24"/>
        </w:rPr>
        <w:t xml:space="preserve">odle čl. 76 odst. 2 Legislativních pravidel vlády </w:t>
      </w:r>
      <w:r w:rsidR="000448B3">
        <w:rPr>
          <w:rFonts w:cs="Times New Roman"/>
          <w:szCs w:val="24"/>
        </w:rPr>
        <w:t>a</w:t>
      </w:r>
      <w:r w:rsidR="00E545F0">
        <w:rPr>
          <w:rFonts w:cs="Times New Roman"/>
          <w:szCs w:val="24"/>
        </w:rPr>
        <w:t> </w:t>
      </w:r>
      <w:r w:rsidR="000448B3">
        <w:rPr>
          <w:rFonts w:cs="Times New Roman"/>
          <w:szCs w:val="24"/>
        </w:rPr>
        <w:t>bodu 5. 7 Obecných zásad pro hodnocení dopadů regulace, byl</w:t>
      </w:r>
      <w:r>
        <w:rPr>
          <w:rFonts w:cs="Times New Roman"/>
          <w:szCs w:val="24"/>
        </w:rPr>
        <w:t>a dopisem</w:t>
      </w:r>
      <w:r w:rsidR="000448B3" w:rsidRPr="00CD769C">
        <w:rPr>
          <w:rFonts w:cs="Times New Roman"/>
          <w:szCs w:val="24"/>
        </w:rPr>
        <w:t xml:space="preserve"> ministra pro legislativu a předsedy Legislativní rady vlády JUDr. </w:t>
      </w:r>
      <w:proofErr w:type="spellStart"/>
      <w:r w:rsidR="000448B3" w:rsidRPr="00CD769C">
        <w:rPr>
          <w:rFonts w:cs="Times New Roman"/>
          <w:szCs w:val="24"/>
        </w:rPr>
        <w:t>MgA</w:t>
      </w:r>
      <w:proofErr w:type="spellEnd"/>
      <w:r w:rsidR="000448B3" w:rsidRPr="00CD769C">
        <w:rPr>
          <w:rFonts w:cs="Times New Roman"/>
          <w:szCs w:val="24"/>
        </w:rPr>
        <w:t>. Michala Šalomouna, Ph.D. pod č.</w:t>
      </w:r>
      <w:r w:rsidR="00920F31">
        <w:rPr>
          <w:rFonts w:cs="Times New Roman"/>
          <w:szCs w:val="24"/>
        </w:rPr>
        <w:t> </w:t>
      </w:r>
      <w:r w:rsidR="000448B3" w:rsidRPr="00CD769C">
        <w:rPr>
          <w:rFonts w:cs="Times New Roman"/>
          <w:szCs w:val="24"/>
        </w:rPr>
        <w:t>j.</w:t>
      </w:r>
      <w:r w:rsidR="00920F31">
        <w:rPr>
          <w:rFonts w:cs="Times New Roman"/>
          <w:szCs w:val="24"/>
        </w:rPr>
        <w:t> </w:t>
      </w:r>
      <w:r w:rsidR="000448B3">
        <w:rPr>
          <w:rFonts w:cs="Times New Roman"/>
          <w:szCs w:val="24"/>
        </w:rPr>
        <w:t>40995/</w:t>
      </w:r>
      <w:r w:rsidR="000448B3" w:rsidRPr="00CD769C">
        <w:rPr>
          <w:rFonts w:cs="Times New Roman"/>
          <w:szCs w:val="24"/>
        </w:rPr>
        <w:t xml:space="preserve">2022-UVCR ze dne </w:t>
      </w:r>
      <w:r w:rsidR="000448B3">
        <w:rPr>
          <w:rFonts w:cs="Times New Roman"/>
          <w:szCs w:val="24"/>
        </w:rPr>
        <w:t>5</w:t>
      </w:r>
      <w:r w:rsidR="000448B3" w:rsidRPr="00CD769C">
        <w:rPr>
          <w:rFonts w:cs="Times New Roman"/>
          <w:szCs w:val="24"/>
        </w:rPr>
        <w:t xml:space="preserve">. </w:t>
      </w:r>
      <w:r w:rsidR="000448B3">
        <w:rPr>
          <w:rFonts w:cs="Times New Roman"/>
          <w:szCs w:val="24"/>
        </w:rPr>
        <w:t>září</w:t>
      </w:r>
      <w:r w:rsidR="000448B3" w:rsidRPr="00CD769C">
        <w:rPr>
          <w:rFonts w:cs="Times New Roman"/>
          <w:szCs w:val="24"/>
        </w:rPr>
        <w:t xml:space="preserve"> 2022 </w:t>
      </w:r>
      <w:r w:rsidRPr="00CD769C">
        <w:rPr>
          <w:rFonts w:cs="Times New Roman"/>
          <w:szCs w:val="24"/>
        </w:rPr>
        <w:t>u</w:t>
      </w:r>
      <w:r>
        <w:rPr>
          <w:rFonts w:cs="Times New Roman"/>
          <w:szCs w:val="24"/>
        </w:rPr>
        <w:t>dělena výjimka</w:t>
      </w:r>
      <w:r w:rsidR="000448B3" w:rsidRPr="00CD769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z</w:t>
      </w:r>
      <w:r w:rsidR="000448B3" w:rsidRPr="00CD769C">
        <w:rPr>
          <w:rFonts w:cs="Times New Roman"/>
          <w:szCs w:val="24"/>
        </w:rPr>
        <w:t xml:space="preserve"> povinnosti zpracovat hodnocení dopadů regulace. </w:t>
      </w:r>
    </w:p>
    <w:p w14:paraId="640507DA" w14:textId="77777777" w:rsidR="000448B3" w:rsidRPr="005F4A13" w:rsidRDefault="000448B3" w:rsidP="00107508"/>
    <w:p w14:paraId="46F1E0CD" w14:textId="77777777" w:rsidR="00C606DD" w:rsidRPr="00C606DD" w:rsidRDefault="00C606DD" w:rsidP="00FF2DE6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709"/>
        <w:rPr>
          <w:rFonts w:eastAsia="Times New Roman" w:cs="Times New Roman"/>
          <w:b/>
          <w:bCs/>
          <w:color w:val="auto"/>
          <w:szCs w:val="24"/>
          <w:lang w:eastAsia="cs-CZ"/>
        </w:rPr>
      </w:pPr>
      <w:r>
        <w:rPr>
          <w:rFonts w:eastAsia="Times New Roman" w:cs="Times New Roman"/>
          <w:b/>
          <w:bCs/>
          <w:color w:val="auto"/>
          <w:szCs w:val="24"/>
          <w:lang w:eastAsia="cs-CZ"/>
        </w:rPr>
        <w:t>Zvláštní</w:t>
      </w:r>
      <w:r w:rsidRPr="00FE0B99">
        <w:rPr>
          <w:rFonts w:eastAsia="Times New Roman" w:cs="Times New Roman"/>
          <w:b/>
          <w:bCs/>
          <w:color w:val="auto"/>
          <w:szCs w:val="24"/>
          <w:lang w:eastAsia="cs-CZ"/>
        </w:rPr>
        <w:t xml:space="preserve"> část</w:t>
      </w:r>
    </w:p>
    <w:p w14:paraId="33C7DF73" w14:textId="77777777" w:rsidR="00FF2DE6" w:rsidRDefault="00FF2DE6" w:rsidP="009E43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auto"/>
          <w:szCs w:val="24"/>
        </w:rPr>
      </w:pPr>
    </w:p>
    <w:p w14:paraId="5C9DACF4" w14:textId="6284C8F3" w:rsidR="009E43B3" w:rsidRPr="00FF2DE6" w:rsidRDefault="009E43B3" w:rsidP="009E43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auto"/>
          <w:szCs w:val="24"/>
        </w:rPr>
      </w:pPr>
      <w:r w:rsidRPr="00FF2DE6">
        <w:rPr>
          <w:rFonts w:cs="Times New Roman"/>
          <w:b/>
          <w:color w:val="auto"/>
          <w:szCs w:val="24"/>
        </w:rPr>
        <w:t xml:space="preserve">K § 1 </w:t>
      </w:r>
      <w:r w:rsidR="00BD0B46">
        <w:rPr>
          <w:rFonts w:cs="Times New Roman"/>
          <w:b/>
          <w:color w:val="auto"/>
          <w:szCs w:val="24"/>
        </w:rPr>
        <w:t>a 2</w:t>
      </w:r>
    </w:p>
    <w:p w14:paraId="4C5B2316" w14:textId="36C10116" w:rsidR="00FF2DE6" w:rsidRDefault="009E43B3" w:rsidP="00FF2DE6">
      <w:r w:rsidRPr="00FF2DE6">
        <w:rPr>
          <w:rFonts w:cs="Times New Roman"/>
          <w:color w:val="auto"/>
          <w:szCs w:val="24"/>
        </w:rPr>
        <w:t>V souladu s</w:t>
      </w:r>
      <w:r w:rsidR="00FF2DE6" w:rsidRPr="00FF2DE6">
        <w:rPr>
          <w:rFonts w:cs="Times New Roman"/>
          <w:color w:val="auto"/>
          <w:szCs w:val="24"/>
        </w:rPr>
        <w:t xml:space="preserve">e </w:t>
      </w:r>
      <w:r w:rsidRPr="00FF2DE6">
        <w:rPr>
          <w:rFonts w:cs="Times New Roman"/>
          <w:color w:val="auto"/>
          <w:szCs w:val="24"/>
        </w:rPr>
        <w:t xml:space="preserve">směrnicí </w:t>
      </w:r>
      <w:r w:rsidR="00FF2DE6" w:rsidRPr="00FF2DE6">
        <w:rPr>
          <w:rFonts w:cs="Times New Roman"/>
          <w:color w:val="auto"/>
          <w:szCs w:val="24"/>
        </w:rPr>
        <w:t xml:space="preserve">2011/83 ve znění směrnice 2019/2161 a </w:t>
      </w:r>
      <w:r w:rsidR="00FF2DE6" w:rsidRPr="00FF2DE6">
        <w:t>na základě zmocňovacího ustanovení</w:t>
      </w:r>
      <w:r w:rsidR="00FF2DE6" w:rsidRPr="00A5451F">
        <w:t xml:space="preserve"> </w:t>
      </w:r>
      <w:r w:rsidR="005207F5">
        <w:t xml:space="preserve">obsaženého v </w:t>
      </w:r>
      <w:r w:rsidR="00FF2DE6" w:rsidRPr="0099751F">
        <w:t xml:space="preserve">§ 1820 odst. 1 písm. </w:t>
      </w:r>
      <w:r w:rsidR="009C33AC">
        <w:t>i</w:t>
      </w:r>
      <w:r w:rsidR="00FF2DE6" w:rsidRPr="0099751F">
        <w:t>) a § 1820 odst. 2</w:t>
      </w:r>
      <w:r w:rsidR="00FF2DE6">
        <w:t xml:space="preserve"> </w:t>
      </w:r>
      <w:r w:rsidR="00A34DCB">
        <w:rPr>
          <w:rFonts w:cs="Times New Roman"/>
          <w:color w:val="auto"/>
          <w:szCs w:val="24"/>
        </w:rPr>
        <w:t>občanského zákoníku</w:t>
      </w:r>
      <w:r w:rsidR="00FF2DE6">
        <w:t xml:space="preserve"> se zavádí vzorové poučení o právu na odstoupení od </w:t>
      </w:r>
      <w:r w:rsidR="00FF2DE6" w:rsidRPr="00FF2DE6">
        <w:rPr>
          <w:rFonts w:cs="Times New Roman"/>
          <w:szCs w:val="24"/>
        </w:rPr>
        <w:t>smlouvy</w:t>
      </w:r>
      <w:r w:rsidR="00FF2DE6">
        <w:t xml:space="preserve"> uzavřené distančním způsobem a mimo obchodní prostory podnikatele a vzorový formulář pro odstoupení od těchto smluv. Ty jsou obsaženy v příloze nařízení. </w:t>
      </w:r>
    </w:p>
    <w:p w14:paraId="36A15647" w14:textId="69C3A0DB" w:rsidR="00E57A5C" w:rsidRPr="00FF2DE6" w:rsidRDefault="00E57A5C" w:rsidP="00E57A5C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auto"/>
          <w:szCs w:val="24"/>
        </w:rPr>
      </w:pPr>
      <w:r w:rsidRPr="00FF2DE6">
        <w:rPr>
          <w:rFonts w:cs="Times New Roman"/>
          <w:b/>
          <w:color w:val="auto"/>
          <w:szCs w:val="24"/>
        </w:rPr>
        <w:t xml:space="preserve">K § </w:t>
      </w:r>
      <w:r w:rsidR="00BD0B46">
        <w:rPr>
          <w:rFonts w:cs="Times New Roman"/>
          <w:b/>
          <w:color w:val="auto"/>
          <w:szCs w:val="24"/>
        </w:rPr>
        <w:t>3</w:t>
      </w:r>
    </w:p>
    <w:p w14:paraId="5740ECB3" w14:textId="25537366" w:rsidR="00206A5D" w:rsidRPr="00E84CBB" w:rsidRDefault="00206A5D" w:rsidP="00E84CBB">
      <w:r w:rsidRPr="00E84CBB">
        <w:t>Vzhledem k</w:t>
      </w:r>
      <w:r w:rsidR="00E84CBB">
        <w:t xml:space="preserve"> rozsahu navrhovaných změn je třeba </w:t>
      </w:r>
      <w:r w:rsidRPr="00E84CBB">
        <w:t xml:space="preserve">nařízení </w:t>
      </w:r>
      <w:r w:rsidR="005207F5">
        <w:t xml:space="preserve">č. </w:t>
      </w:r>
      <w:r w:rsidR="00E84CBB">
        <w:t xml:space="preserve">363/2013 </w:t>
      </w:r>
      <w:r w:rsidR="00DC32F4">
        <w:t xml:space="preserve">Sb. </w:t>
      </w:r>
      <w:r w:rsidRPr="00E84CBB">
        <w:t xml:space="preserve">zrušit a nahradit novým </w:t>
      </w:r>
      <w:r w:rsidR="00DB33E8">
        <w:t xml:space="preserve">prováděcím </w:t>
      </w:r>
      <w:r w:rsidRPr="00E84CBB">
        <w:t>předpisem vydaným v souladu se zmocněním daným občanským zákoníkem.</w:t>
      </w:r>
      <w:r w:rsidR="00E84CBB">
        <w:t xml:space="preserve"> </w:t>
      </w:r>
    </w:p>
    <w:p w14:paraId="0CDAA682" w14:textId="0C5552A1" w:rsidR="00E84CBB" w:rsidRPr="00FF2DE6" w:rsidRDefault="00E84CBB" w:rsidP="00E84CBB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auto"/>
          <w:szCs w:val="24"/>
        </w:rPr>
      </w:pPr>
      <w:r w:rsidRPr="00FF2DE6">
        <w:rPr>
          <w:rFonts w:cs="Times New Roman"/>
          <w:b/>
          <w:color w:val="auto"/>
          <w:szCs w:val="24"/>
        </w:rPr>
        <w:t xml:space="preserve">K § </w:t>
      </w:r>
      <w:r>
        <w:rPr>
          <w:rFonts w:cs="Times New Roman"/>
          <w:b/>
          <w:color w:val="auto"/>
          <w:szCs w:val="24"/>
        </w:rPr>
        <w:t>4</w:t>
      </w:r>
    </w:p>
    <w:p w14:paraId="2AC7B542" w14:textId="77777777" w:rsidR="00923283" w:rsidRDefault="00923283" w:rsidP="00E84CBB">
      <w:r w:rsidRPr="00923283">
        <w:t>S ohledem na uplynutí transpozičních lhůt pro provedení dotčených směrnic je nezbytné, aby nařízení vlády nabylo účinnosti v co možná nejbližším termínu. Na druhou stranu je zapotřebí poskytnout podnikatelům alespoň minimální lhůtu pro seznámení se s novými pravidly. Z tohoto důvodu se účinnost nařízení vlády navrhuje 30. dnem po jeho vyhlášení.</w:t>
      </w:r>
    </w:p>
    <w:p w14:paraId="335649D9" w14:textId="0DC5EC3C" w:rsidR="00E57A5C" w:rsidRPr="00E57A5C" w:rsidRDefault="00E57A5C" w:rsidP="009E43B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color w:val="auto"/>
          <w:szCs w:val="24"/>
        </w:rPr>
      </w:pPr>
      <w:r w:rsidRPr="00E57A5C">
        <w:rPr>
          <w:rFonts w:cs="Times New Roman"/>
          <w:b/>
          <w:color w:val="auto"/>
          <w:szCs w:val="24"/>
        </w:rPr>
        <w:t>K </w:t>
      </w:r>
      <w:r>
        <w:rPr>
          <w:rFonts w:cs="Times New Roman"/>
          <w:b/>
          <w:color w:val="auto"/>
          <w:szCs w:val="24"/>
        </w:rPr>
        <w:t>P</w:t>
      </w:r>
      <w:r w:rsidRPr="00E57A5C">
        <w:rPr>
          <w:rFonts w:cs="Times New Roman"/>
          <w:b/>
          <w:color w:val="auto"/>
          <w:szCs w:val="24"/>
        </w:rPr>
        <w:t>říloze</w:t>
      </w:r>
    </w:p>
    <w:p w14:paraId="794B8949" w14:textId="77777777" w:rsidR="00E57A5C" w:rsidRDefault="00E57A5C" w:rsidP="00E57A5C">
      <w:r>
        <w:t xml:space="preserve">Obsahové náležitosti vzorového poučení i formuláře pro odstoupení od smlouvy jsou napříč členskými státy EU shodné, neboť vychází se směrnice 2011/83, která je plně harmonizovanou směrnicí. Z tohoto důvodu navrhovaná podoba vzorového poučení i vzorového formuláře pro odstoupení od smluv uzavřených distančním způsobem nebo mimo obchodní prostory vychází z Přílohy I směrnice 2011/83. </w:t>
      </w:r>
    </w:p>
    <w:p w14:paraId="61DEBA84" w14:textId="7B7F3BDE" w:rsidR="00E57A5C" w:rsidRDefault="00E57A5C" w:rsidP="00E57A5C">
      <w:r>
        <w:t xml:space="preserve">Vzorové poučení o právu na odstoupení od smlouvy bylo upraveno tak, aby plně odpovídalo </w:t>
      </w:r>
      <w:r w:rsidR="005207F5">
        <w:t xml:space="preserve">jak </w:t>
      </w:r>
      <w:r>
        <w:t xml:space="preserve">terminologii příslušných částí </w:t>
      </w:r>
      <w:r w:rsidR="00A34DCB">
        <w:rPr>
          <w:rFonts w:cs="Times New Roman"/>
          <w:color w:val="auto"/>
          <w:szCs w:val="24"/>
        </w:rPr>
        <w:t>občanského zákoníku</w:t>
      </w:r>
      <w:r>
        <w:t xml:space="preserve">, tak požadavkům směrnice. </w:t>
      </w:r>
    </w:p>
    <w:p w14:paraId="38A643AD" w14:textId="4FDF96E8" w:rsidR="00E57A5C" w:rsidRDefault="00E57A5C" w:rsidP="00E57A5C">
      <w:r>
        <w:lastRenderedPageBreak/>
        <w:t xml:space="preserve">Vzorové poučení o právu na odstoupení od smlouvy se vztahuje </w:t>
      </w:r>
      <w:r w:rsidR="005207F5">
        <w:t xml:space="preserve">jak </w:t>
      </w:r>
      <w:r>
        <w:t xml:space="preserve">na kupní smlouvy, tak </w:t>
      </w:r>
      <w:r w:rsidR="005207F5">
        <w:t xml:space="preserve">na </w:t>
      </w:r>
      <w:r>
        <w:t xml:space="preserve">smlouvy o poskytování služeb, včetně smluv o poskytování digitálního obsahu a služeb digitálního obsahu. Směrnice 2011/83 však stanoví, že na smlouvy o poskytování digitálního obsahu, které jsou dodané na hmotném nosiči, se uplatní pravidla o zboží. Toto pravidlo je obsaženo v § 1838 </w:t>
      </w:r>
      <w:r w:rsidR="00A34DCB">
        <w:rPr>
          <w:rFonts w:cs="Times New Roman"/>
          <w:color w:val="auto"/>
          <w:szCs w:val="24"/>
        </w:rPr>
        <w:t>občanského zákoníku</w:t>
      </w:r>
      <w:r>
        <w:t xml:space="preserve">. Z důvodu právní jistoty je </w:t>
      </w:r>
      <w:r w:rsidR="00EB248B">
        <w:t xml:space="preserve">toto pravidlo </w:t>
      </w:r>
      <w:r>
        <w:t xml:space="preserve">uvedeno i v příloze nařízení. </w:t>
      </w:r>
    </w:p>
    <w:p w14:paraId="5D7F2900" w14:textId="6484EABF" w:rsidR="00E57A5C" w:rsidRDefault="00E57A5C" w:rsidP="00E57A5C">
      <w:r>
        <w:t xml:space="preserve">Dále ve shodě s požadavky směrnice 2011/83 a novelizovaným § 1829 </w:t>
      </w:r>
      <w:r w:rsidR="00A34DCB">
        <w:rPr>
          <w:rFonts w:cs="Times New Roman"/>
          <w:color w:val="auto"/>
          <w:szCs w:val="24"/>
        </w:rPr>
        <w:t>občanského zákoníku</w:t>
      </w:r>
      <w:r>
        <w:t xml:space="preserve"> se spotřebitel neinformuje o počátku běhu lhůty pro odstoupení od smlouvy, ale o konci této lhůty. </w:t>
      </w:r>
    </w:p>
    <w:p w14:paraId="7254C714" w14:textId="096B6065" w:rsidR="00E57A5C" w:rsidRDefault="00E57A5C" w:rsidP="00E57A5C">
      <w:r>
        <w:t>V příloze nařízení byla rovněž zohledněna volba Č</w:t>
      </w:r>
      <w:r w:rsidR="00A34DCB">
        <w:t>eské republiky</w:t>
      </w:r>
      <w:r>
        <w:t xml:space="preserve"> spočívající v přijetí přísnější úpravy u vybraných smluv, u nichž nově platí třicetidenní lhůta pro odstoupení od smlouvy (dříve 14 dní). Tato nová lhůta platí podle § </w:t>
      </w:r>
      <w:proofErr w:type="gramStart"/>
      <w:r>
        <w:t>1829a</w:t>
      </w:r>
      <w:proofErr w:type="gramEnd"/>
      <w:r>
        <w:t xml:space="preserve"> </w:t>
      </w:r>
      <w:r w:rsidR="00A34DCB">
        <w:rPr>
          <w:rFonts w:cs="Times New Roman"/>
          <w:color w:val="auto"/>
          <w:szCs w:val="24"/>
        </w:rPr>
        <w:t>občanského zákoníku</w:t>
      </w:r>
      <w:r>
        <w:t xml:space="preserve"> pro smlouvy, které byly uzavřeny v rámci tzv. organizovaných prodejních akcí, nebo v domácnosti spotřebitele bez předem sjednané návštěvy. </w:t>
      </w:r>
    </w:p>
    <w:p w14:paraId="3966418D" w14:textId="36CA436A" w:rsidR="00E57A5C" w:rsidRPr="009E43B3" w:rsidRDefault="00E57A5C" w:rsidP="00E57A5C">
      <w:pPr>
        <w:rPr>
          <w:rFonts w:cs="Times New Roman"/>
          <w:color w:val="auto"/>
          <w:szCs w:val="24"/>
          <w:highlight w:val="yellow"/>
        </w:rPr>
      </w:pPr>
      <w:r>
        <w:t>Ačkoli je poskytnutí vzorového formuláře pro odstoupení od smlouvy pro podnikatele povinné, jeho v</w:t>
      </w:r>
      <w:r w:rsidRPr="00B10C91">
        <w:t xml:space="preserve">yužití </w:t>
      </w:r>
      <w:r w:rsidR="00DB33E8">
        <w:t xml:space="preserve">spotřebitelem </w:t>
      </w:r>
      <w:r w:rsidRPr="00B10C91">
        <w:t xml:space="preserve">je ponecháno na bázi dobrovolnosti. Spotřebitel </w:t>
      </w:r>
      <w:r>
        <w:t xml:space="preserve">může </w:t>
      </w:r>
      <w:r w:rsidRPr="00B10C91">
        <w:t>odstoupit od smlouvy i</w:t>
      </w:r>
      <w:r w:rsidR="00C824F2">
        <w:t> </w:t>
      </w:r>
      <w:r w:rsidRPr="00B10C91">
        <w:t>jinou formou</w:t>
      </w:r>
      <w:r>
        <w:t xml:space="preserve">. </w:t>
      </w:r>
      <w:r w:rsidRPr="00B10C91">
        <w:t>Využití vzorového formuláře však spotřebiteli zjednoduší proces odstoupení od</w:t>
      </w:r>
      <w:r w:rsidR="00920F31">
        <w:t> </w:t>
      </w:r>
      <w:bookmarkStart w:id="0" w:name="_GoBack"/>
      <w:bookmarkEnd w:id="0"/>
      <w:r w:rsidRPr="00B10C91">
        <w:t>smlouvy</w:t>
      </w:r>
      <w:r>
        <w:t xml:space="preserve"> </w:t>
      </w:r>
      <w:r w:rsidRPr="00B10C91">
        <w:t>a mělo by pro něj znamenat i určitou právní jistotu</w:t>
      </w:r>
      <w:r>
        <w:t xml:space="preserve"> z hlediska dokazování, kdy a jakým způsobem své právo vůči podnikateli uplatnil. </w:t>
      </w:r>
    </w:p>
    <w:p w14:paraId="3E0F536F" w14:textId="4E9740A2" w:rsidR="00A34DCB" w:rsidRPr="00467DD6" w:rsidRDefault="006B1213" w:rsidP="000270D7">
      <w:pPr>
        <w:rPr>
          <w:rFonts w:cs="Times New Roman"/>
          <w:color w:val="auto"/>
          <w:szCs w:val="24"/>
        </w:rPr>
      </w:pPr>
      <w:r w:rsidRPr="006B1213">
        <w:t>Vedle povinného vzorového formuláře pro odstoupení od smlouvy může podnikatel spotřebiteli nabídnout i doplňkový formulář pro odstoupení od smlouvy, například na svých internetových stránkách. Tento doplňkový formulář může obsahovat i jiné údaje sloužící k získání více informací od spotřebitele. Doplňkový formulář pro odstoupení od smlouvy však musí být navržen tak, aby spotřebitel věděl, že se jedná o nepovinné údaje, které podnikateli nemusí poskytovat, a že bez těchto údajů bude možné formulář podnikateli odeslat.</w:t>
      </w:r>
    </w:p>
    <w:sectPr w:rsidR="00A34DCB" w:rsidRPr="00467DD6" w:rsidSect="00CC5E4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2EAC2" w16cex:dateUtc="2022-12-13T11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19FDA" w14:textId="77777777" w:rsidR="00FA69C7" w:rsidRDefault="00FA69C7" w:rsidP="00677FE0">
      <w:pPr>
        <w:spacing w:after="0" w:line="240" w:lineRule="auto"/>
      </w:pPr>
      <w:r>
        <w:separator/>
      </w:r>
    </w:p>
  </w:endnote>
  <w:endnote w:type="continuationSeparator" w:id="0">
    <w:p w14:paraId="5F08510F" w14:textId="77777777" w:rsidR="00FA69C7" w:rsidRDefault="00FA69C7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91717"/>
      <w:docPartObj>
        <w:docPartGallery w:val="Page Numbers (Bottom of Page)"/>
        <w:docPartUnique/>
      </w:docPartObj>
    </w:sdtPr>
    <w:sdtContent>
      <w:p w14:paraId="566C20A9" w14:textId="350CBB98" w:rsidR="00920F31" w:rsidRDefault="00920F3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9E1953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362FF" w14:textId="77777777" w:rsidR="00FA69C7" w:rsidRDefault="00FA69C7" w:rsidP="00677FE0">
      <w:pPr>
        <w:spacing w:after="0" w:line="240" w:lineRule="auto"/>
      </w:pPr>
      <w:r>
        <w:separator/>
      </w:r>
    </w:p>
  </w:footnote>
  <w:footnote w:type="continuationSeparator" w:id="0">
    <w:p w14:paraId="02B84383" w14:textId="77777777" w:rsidR="00FA69C7" w:rsidRDefault="00FA69C7" w:rsidP="00677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534CAB"/>
    <w:multiLevelType w:val="multilevel"/>
    <w:tmpl w:val="7DD01866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130316F8"/>
    <w:multiLevelType w:val="multilevel"/>
    <w:tmpl w:val="3320A8B2"/>
    <w:numStyleLink w:val="VariantaB-odrky"/>
  </w:abstractNum>
  <w:abstractNum w:abstractNumId="15" w15:restartNumberingAfterBreak="0">
    <w:nsid w:val="13FB2F1F"/>
    <w:multiLevelType w:val="multilevel"/>
    <w:tmpl w:val="E8BAE50A"/>
    <w:numStyleLink w:val="VariantaA-odrky"/>
  </w:abstractNum>
  <w:abstractNum w:abstractNumId="16" w15:restartNumberingAfterBreak="0">
    <w:nsid w:val="15587B24"/>
    <w:multiLevelType w:val="multilevel"/>
    <w:tmpl w:val="E8BAE50A"/>
    <w:numStyleLink w:val="VariantaA-odrky"/>
  </w:abstractNum>
  <w:abstractNum w:abstractNumId="17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8" w15:restartNumberingAfterBreak="0">
    <w:nsid w:val="17501D0D"/>
    <w:multiLevelType w:val="hybridMultilevel"/>
    <w:tmpl w:val="C79A13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BE43F03"/>
    <w:multiLevelType w:val="hybridMultilevel"/>
    <w:tmpl w:val="17544A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3068A6"/>
    <w:multiLevelType w:val="multilevel"/>
    <w:tmpl w:val="3320A8B2"/>
    <w:numStyleLink w:val="VariantaB-odrky"/>
  </w:abstractNum>
  <w:abstractNum w:abstractNumId="23" w15:restartNumberingAfterBreak="0">
    <w:nsid w:val="1D464EC2"/>
    <w:multiLevelType w:val="multilevel"/>
    <w:tmpl w:val="E8BAE50A"/>
    <w:numStyleLink w:val="VariantaA-odrky"/>
  </w:abstractNum>
  <w:abstractNum w:abstractNumId="24" w15:restartNumberingAfterBreak="0">
    <w:nsid w:val="1EAB39CE"/>
    <w:multiLevelType w:val="multilevel"/>
    <w:tmpl w:val="E8BAE50A"/>
    <w:numStyleLink w:val="VariantaA-odrky"/>
  </w:abstractNum>
  <w:abstractNum w:abstractNumId="25" w15:restartNumberingAfterBreak="0">
    <w:nsid w:val="1ECC3324"/>
    <w:multiLevelType w:val="multilevel"/>
    <w:tmpl w:val="5E58E916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27B4526E"/>
    <w:multiLevelType w:val="hybridMultilevel"/>
    <w:tmpl w:val="FD60166E"/>
    <w:lvl w:ilvl="0" w:tplc="14EC03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4E07B31"/>
    <w:multiLevelType w:val="hybridMultilevel"/>
    <w:tmpl w:val="A3B877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306389"/>
    <w:multiLevelType w:val="multilevel"/>
    <w:tmpl w:val="E8BAE50A"/>
    <w:numStyleLink w:val="VariantaA-odrky"/>
  </w:abstractNum>
  <w:abstractNum w:abstractNumId="34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3290926"/>
    <w:multiLevelType w:val="multilevel"/>
    <w:tmpl w:val="E8BAE50A"/>
    <w:numStyleLink w:val="VariantaA-odrky"/>
  </w:abstractNum>
  <w:abstractNum w:abstractNumId="36" w15:restartNumberingAfterBreak="0">
    <w:nsid w:val="533902EA"/>
    <w:multiLevelType w:val="multilevel"/>
    <w:tmpl w:val="E8BAE50A"/>
    <w:numStyleLink w:val="VariantaA-odrky"/>
  </w:abstractNum>
  <w:abstractNum w:abstractNumId="37" w15:restartNumberingAfterBreak="0">
    <w:nsid w:val="571C11E2"/>
    <w:multiLevelType w:val="multilevel"/>
    <w:tmpl w:val="E8A48D7C"/>
    <w:numStyleLink w:val="VariantaA-sla"/>
  </w:abstractNum>
  <w:abstractNum w:abstractNumId="38" w15:restartNumberingAfterBreak="0">
    <w:nsid w:val="58464FCC"/>
    <w:multiLevelType w:val="hybridMultilevel"/>
    <w:tmpl w:val="2550B5F2"/>
    <w:lvl w:ilvl="0" w:tplc="D456841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0" w15:restartNumberingAfterBreak="0">
    <w:nsid w:val="5AF35F43"/>
    <w:multiLevelType w:val="multilevel"/>
    <w:tmpl w:val="0D8ABE32"/>
    <w:numStyleLink w:val="VariantaB-sla"/>
  </w:abstractNum>
  <w:abstractNum w:abstractNumId="41" w15:restartNumberingAfterBreak="0">
    <w:nsid w:val="76AC0058"/>
    <w:multiLevelType w:val="hybridMultilevel"/>
    <w:tmpl w:val="1D96691A"/>
    <w:lvl w:ilvl="0" w:tplc="79785AD8">
      <w:start w:val="1"/>
      <w:numFmt w:val="upperLetter"/>
      <w:pStyle w:val="Nadpiss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39"/>
  </w:num>
  <w:num w:numId="3">
    <w:abstractNumId w:val="22"/>
  </w:num>
  <w:num w:numId="4">
    <w:abstractNumId w:val="15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4"/>
  </w:num>
  <w:num w:numId="7">
    <w:abstractNumId w:val="7"/>
  </w:num>
  <w:num w:numId="8">
    <w:abstractNumId w:val="37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36"/>
  </w:num>
  <w:num w:numId="14">
    <w:abstractNumId w:val="4"/>
  </w:num>
  <w:num w:numId="15">
    <w:abstractNumId w:val="3"/>
  </w:num>
  <w:num w:numId="16">
    <w:abstractNumId w:val="34"/>
  </w:num>
  <w:num w:numId="17">
    <w:abstractNumId w:val="23"/>
  </w:num>
  <w:num w:numId="18">
    <w:abstractNumId w:val="6"/>
  </w:num>
  <w:num w:numId="19">
    <w:abstractNumId w:val="13"/>
  </w:num>
  <w:num w:numId="20">
    <w:abstractNumId w:val="8"/>
  </w:num>
  <w:num w:numId="21">
    <w:abstractNumId w:val="31"/>
  </w:num>
  <w:num w:numId="22">
    <w:abstractNumId w:val="10"/>
  </w:num>
  <w:num w:numId="23">
    <w:abstractNumId w:val="24"/>
  </w:num>
  <w:num w:numId="24">
    <w:abstractNumId w:val="11"/>
  </w:num>
  <w:num w:numId="25">
    <w:abstractNumId w:val="16"/>
  </w:num>
  <w:num w:numId="26">
    <w:abstractNumId w:val="33"/>
  </w:num>
  <w:num w:numId="27">
    <w:abstractNumId w:val="30"/>
  </w:num>
  <w:num w:numId="28">
    <w:abstractNumId w:val="29"/>
  </w:num>
  <w:num w:numId="29">
    <w:abstractNumId w:val="20"/>
  </w:num>
  <w:num w:numId="30">
    <w:abstractNumId w:val="35"/>
  </w:num>
  <w:num w:numId="31">
    <w:abstractNumId w:val="40"/>
  </w:num>
  <w:num w:numId="32">
    <w:abstractNumId w:val="27"/>
  </w:num>
  <w:num w:numId="33">
    <w:abstractNumId w:val="19"/>
  </w:num>
  <w:num w:numId="34">
    <w:abstractNumId w:val="9"/>
  </w:num>
  <w:num w:numId="35">
    <w:abstractNumId w:val="28"/>
  </w:num>
  <w:num w:numId="36">
    <w:abstractNumId w:val="14"/>
  </w:num>
  <w:num w:numId="37">
    <w:abstractNumId w:val="26"/>
  </w:num>
  <w:num w:numId="38">
    <w:abstractNumId w:val="21"/>
  </w:num>
  <w:num w:numId="39">
    <w:abstractNumId w:val="18"/>
  </w:num>
  <w:num w:numId="40">
    <w:abstractNumId w:val="38"/>
  </w:num>
  <w:num w:numId="41">
    <w:abstractNumId w:val="32"/>
  </w:num>
  <w:num w:numId="42">
    <w:abstractNumId w:val="41"/>
  </w:num>
  <w:num w:numId="43">
    <w:abstractNumId w:val="41"/>
  </w:num>
  <w:num w:numId="44">
    <w:abstractNumId w:val="12"/>
  </w:num>
  <w:num w:numId="45">
    <w:abstractNumId w:val="41"/>
  </w:num>
  <w:num w:numId="46">
    <w:abstractNumId w:val="25"/>
  </w:num>
  <w:num w:numId="47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C7"/>
    <w:rsid w:val="00015306"/>
    <w:rsid w:val="0002674B"/>
    <w:rsid w:val="000270D7"/>
    <w:rsid w:val="00031FF7"/>
    <w:rsid w:val="00040AD6"/>
    <w:rsid w:val="0004162E"/>
    <w:rsid w:val="000448B3"/>
    <w:rsid w:val="0004786B"/>
    <w:rsid w:val="00047D18"/>
    <w:rsid w:val="00063405"/>
    <w:rsid w:val="000809B9"/>
    <w:rsid w:val="00081B17"/>
    <w:rsid w:val="00090B40"/>
    <w:rsid w:val="00095A0A"/>
    <w:rsid w:val="00095BC4"/>
    <w:rsid w:val="000A090B"/>
    <w:rsid w:val="000B1B3D"/>
    <w:rsid w:val="000C4CAF"/>
    <w:rsid w:val="000C6597"/>
    <w:rsid w:val="000D612A"/>
    <w:rsid w:val="000D719B"/>
    <w:rsid w:val="00107508"/>
    <w:rsid w:val="00121485"/>
    <w:rsid w:val="0012648A"/>
    <w:rsid w:val="001268B0"/>
    <w:rsid w:val="00140D64"/>
    <w:rsid w:val="00165034"/>
    <w:rsid w:val="0018051B"/>
    <w:rsid w:val="00180617"/>
    <w:rsid w:val="001835F9"/>
    <w:rsid w:val="00194310"/>
    <w:rsid w:val="001A372D"/>
    <w:rsid w:val="001B1E4A"/>
    <w:rsid w:val="001B6D88"/>
    <w:rsid w:val="001D27C0"/>
    <w:rsid w:val="001E01C8"/>
    <w:rsid w:val="001E74C3"/>
    <w:rsid w:val="001F23A8"/>
    <w:rsid w:val="001F6937"/>
    <w:rsid w:val="001F7233"/>
    <w:rsid w:val="00206A5D"/>
    <w:rsid w:val="00220DE3"/>
    <w:rsid w:val="00241915"/>
    <w:rsid w:val="0025290D"/>
    <w:rsid w:val="00260372"/>
    <w:rsid w:val="00262DAF"/>
    <w:rsid w:val="00285AED"/>
    <w:rsid w:val="00294D5C"/>
    <w:rsid w:val="002D4A0E"/>
    <w:rsid w:val="002E2442"/>
    <w:rsid w:val="002F0E8C"/>
    <w:rsid w:val="00306D87"/>
    <w:rsid w:val="003073B5"/>
    <w:rsid w:val="00310FA0"/>
    <w:rsid w:val="00320481"/>
    <w:rsid w:val="00321401"/>
    <w:rsid w:val="003250CB"/>
    <w:rsid w:val="00363201"/>
    <w:rsid w:val="0036385C"/>
    <w:rsid w:val="003643C6"/>
    <w:rsid w:val="0037729A"/>
    <w:rsid w:val="003823A2"/>
    <w:rsid w:val="0039063C"/>
    <w:rsid w:val="003A46A8"/>
    <w:rsid w:val="003A51AA"/>
    <w:rsid w:val="003B565A"/>
    <w:rsid w:val="003D00A1"/>
    <w:rsid w:val="003E442F"/>
    <w:rsid w:val="0041427F"/>
    <w:rsid w:val="00416FAA"/>
    <w:rsid w:val="00420161"/>
    <w:rsid w:val="00425CB5"/>
    <w:rsid w:val="0042692F"/>
    <w:rsid w:val="004509E5"/>
    <w:rsid w:val="00467DD6"/>
    <w:rsid w:val="00485731"/>
    <w:rsid w:val="00486FB9"/>
    <w:rsid w:val="004B193B"/>
    <w:rsid w:val="004C212A"/>
    <w:rsid w:val="004E536B"/>
    <w:rsid w:val="004E7684"/>
    <w:rsid w:val="00500232"/>
    <w:rsid w:val="00504668"/>
    <w:rsid w:val="005207F5"/>
    <w:rsid w:val="005319A7"/>
    <w:rsid w:val="005455E1"/>
    <w:rsid w:val="005502BD"/>
    <w:rsid w:val="00556778"/>
    <w:rsid w:val="00556787"/>
    <w:rsid w:val="00567C52"/>
    <w:rsid w:val="00570166"/>
    <w:rsid w:val="00574DD3"/>
    <w:rsid w:val="00582276"/>
    <w:rsid w:val="005B386B"/>
    <w:rsid w:val="005C2560"/>
    <w:rsid w:val="005D5E3D"/>
    <w:rsid w:val="005F4A13"/>
    <w:rsid w:val="005F7585"/>
    <w:rsid w:val="00605759"/>
    <w:rsid w:val="006078A5"/>
    <w:rsid w:val="00627DF6"/>
    <w:rsid w:val="0063717D"/>
    <w:rsid w:val="006373C0"/>
    <w:rsid w:val="00650C6C"/>
    <w:rsid w:val="00652FE6"/>
    <w:rsid w:val="006574FD"/>
    <w:rsid w:val="00667898"/>
    <w:rsid w:val="006741FD"/>
    <w:rsid w:val="00677FE0"/>
    <w:rsid w:val="006803A4"/>
    <w:rsid w:val="006A266F"/>
    <w:rsid w:val="006A71F8"/>
    <w:rsid w:val="006B0DC4"/>
    <w:rsid w:val="006B1213"/>
    <w:rsid w:val="006B31D7"/>
    <w:rsid w:val="006D04EF"/>
    <w:rsid w:val="006E2FB0"/>
    <w:rsid w:val="006E7BBD"/>
    <w:rsid w:val="007102D2"/>
    <w:rsid w:val="00712836"/>
    <w:rsid w:val="00713948"/>
    <w:rsid w:val="00747AB3"/>
    <w:rsid w:val="00753A27"/>
    <w:rsid w:val="0077042B"/>
    <w:rsid w:val="00784134"/>
    <w:rsid w:val="0079342A"/>
    <w:rsid w:val="007B2220"/>
    <w:rsid w:val="007B4949"/>
    <w:rsid w:val="007F0BC6"/>
    <w:rsid w:val="00822239"/>
    <w:rsid w:val="00831374"/>
    <w:rsid w:val="00845EDB"/>
    <w:rsid w:val="008573D3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8E7BC7"/>
    <w:rsid w:val="00901031"/>
    <w:rsid w:val="00920F31"/>
    <w:rsid w:val="00922001"/>
    <w:rsid w:val="00922C17"/>
    <w:rsid w:val="00923283"/>
    <w:rsid w:val="00942C4C"/>
    <w:rsid w:val="00942DDD"/>
    <w:rsid w:val="00950CD3"/>
    <w:rsid w:val="009516A8"/>
    <w:rsid w:val="00964A50"/>
    <w:rsid w:val="0097705C"/>
    <w:rsid w:val="009923A1"/>
    <w:rsid w:val="0099548D"/>
    <w:rsid w:val="0099751F"/>
    <w:rsid w:val="009A5372"/>
    <w:rsid w:val="009B5DB1"/>
    <w:rsid w:val="009C33AC"/>
    <w:rsid w:val="009E43B3"/>
    <w:rsid w:val="009F393D"/>
    <w:rsid w:val="009F7F46"/>
    <w:rsid w:val="00A000BF"/>
    <w:rsid w:val="00A0587E"/>
    <w:rsid w:val="00A15BD4"/>
    <w:rsid w:val="00A21420"/>
    <w:rsid w:val="00A275BC"/>
    <w:rsid w:val="00A31E26"/>
    <w:rsid w:val="00A34DCB"/>
    <w:rsid w:val="00A464B4"/>
    <w:rsid w:val="00A5451F"/>
    <w:rsid w:val="00A63D6B"/>
    <w:rsid w:val="00A64BDD"/>
    <w:rsid w:val="00A84B52"/>
    <w:rsid w:val="00A8660F"/>
    <w:rsid w:val="00A8711B"/>
    <w:rsid w:val="00A95C48"/>
    <w:rsid w:val="00AA7056"/>
    <w:rsid w:val="00AB31C6"/>
    <w:rsid w:val="00AB3830"/>
    <w:rsid w:val="00AB523B"/>
    <w:rsid w:val="00AC4CCB"/>
    <w:rsid w:val="00AD7E40"/>
    <w:rsid w:val="00AF5440"/>
    <w:rsid w:val="00B10C91"/>
    <w:rsid w:val="00B1126F"/>
    <w:rsid w:val="00B1477A"/>
    <w:rsid w:val="00B20993"/>
    <w:rsid w:val="00B37195"/>
    <w:rsid w:val="00B42E96"/>
    <w:rsid w:val="00B50EE6"/>
    <w:rsid w:val="00B52185"/>
    <w:rsid w:val="00B8011E"/>
    <w:rsid w:val="00B9753A"/>
    <w:rsid w:val="00BB3677"/>
    <w:rsid w:val="00BB479C"/>
    <w:rsid w:val="00BC4720"/>
    <w:rsid w:val="00BD0B46"/>
    <w:rsid w:val="00BD75A2"/>
    <w:rsid w:val="00BF37B2"/>
    <w:rsid w:val="00C2017A"/>
    <w:rsid w:val="00C2026B"/>
    <w:rsid w:val="00C20470"/>
    <w:rsid w:val="00C34B2F"/>
    <w:rsid w:val="00C4641B"/>
    <w:rsid w:val="00C606DD"/>
    <w:rsid w:val="00C6690E"/>
    <w:rsid w:val="00C703C5"/>
    <w:rsid w:val="00C77CF9"/>
    <w:rsid w:val="00C805F2"/>
    <w:rsid w:val="00C824F2"/>
    <w:rsid w:val="00C96EFE"/>
    <w:rsid w:val="00CA73B2"/>
    <w:rsid w:val="00CC5E40"/>
    <w:rsid w:val="00D1569F"/>
    <w:rsid w:val="00D20B1E"/>
    <w:rsid w:val="00D22462"/>
    <w:rsid w:val="00D230AC"/>
    <w:rsid w:val="00D3228B"/>
    <w:rsid w:val="00D32489"/>
    <w:rsid w:val="00D3349E"/>
    <w:rsid w:val="00D46072"/>
    <w:rsid w:val="00D73CB8"/>
    <w:rsid w:val="00DA7591"/>
    <w:rsid w:val="00DA781F"/>
    <w:rsid w:val="00DB17DA"/>
    <w:rsid w:val="00DB33E8"/>
    <w:rsid w:val="00DC32F4"/>
    <w:rsid w:val="00DD75CF"/>
    <w:rsid w:val="00DE6E3B"/>
    <w:rsid w:val="00E04258"/>
    <w:rsid w:val="00E24CB8"/>
    <w:rsid w:val="00E32798"/>
    <w:rsid w:val="00E33CC8"/>
    <w:rsid w:val="00E37E76"/>
    <w:rsid w:val="00E41532"/>
    <w:rsid w:val="00E457AA"/>
    <w:rsid w:val="00E51C91"/>
    <w:rsid w:val="00E54344"/>
    <w:rsid w:val="00E545F0"/>
    <w:rsid w:val="00E57A5C"/>
    <w:rsid w:val="00E667C1"/>
    <w:rsid w:val="00E84CBB"/>
    <w:rsid w:val="00E907C2"/>
    <w:rsid w:val="00EA5A0E"/>
    <w:rsid w:val="00EB248B"/>
    <w:rsid w:val="00EC331A"/>
    <w:rsid w:val="00EC3F88"/>
    <w:rsid w:val="00EC780C"/>
    <w:rsid w:val="00ED36D8"/>
    <w:rsid w:val="00EE6BD7"/>
    <w:rsid w:val="00EF26A8"/>
    <w:rsid w:val="00F0689D"/>
    <w:rsid w:val="00F24E45"/>
    <w:rsid w:val="00F27097"/>
    <w:rsid w:val="00F44DAE"/>
    <w:rsid w:val="00F940EB"/>
    <w:rsid w:val="00FA69C7"/>
    <w:rsid w:val="00FB01B5"/>
    <w:rsid w:val="00FE06E4"/>
    <w:rsid w:val="00FE0B99"/>
    <w:rsid w:val="00FF2DE6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0BE4D0FF"/>
  <w15:chartTrackingRefBased/>
  <w15:docId w15:val="{3BF9993C-D23F-4C9C-A470-276B6F3B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2239"/>
    <w:pPr>
      <w:spacing w:before="120" w:after="160" w:line="36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onclusion de partie,Odstavec se seznamem2,Fiche List Paragraph,Odstavec1,Dot pt,List Paragraph Char Char Char,Indicator Text,Numbered Para 1,List Paragraph à moi,Odsek zoznamu4,LISTA,Listaszerű bekezdés2,3,Nad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Nadpiss">
    <w:name w:val="Nadpiss"/>
    <w:basedOn w:val="Odstavecseseznamem"/>
    <w:link w:val="NadpissChar"/>
    <w:qFormat/>
    <w:rsid w:val="00822239"/>
    <w:pPr>
      <w:numPr>
        <w:numId w:val="42"/>
      </w:numPr>
      <w:autoSpaceDE w:val="0"/>
      <w:autoSpaceDN w:val="0"/>
      <w:adjustRightInd w:val="0"/>
      <w:spacing w:after="240" w:line="240" w:lineRule="auto"/>
      <w:contextualSpacing w:val="0"/>
    </w:pPr>
    <w:rPr>
      <w:rFonts w:cs="Times New Roman"/>
      <w:b/>
      <w:color w:val="auto"/>
      <w:szCs w:val="24"/>
    </w:rPr>
  </w:style>
  <w:style w:type="character" w:customStyle="1" w:styleId="OdstavecseseznamemChar">
    <w:name w:val="Odstavec se seznamem Char"/>
    <w:aliases w:val="Conclusion de partie Char,Odstavec se seznamem2 Char,Fiche List Paragraph Char,Odstavec1 Char,Dot pt Char,List Paragraph Char Char Char Char,Indicator Text Char,Numbered Para 1 Char,List Paragraph à moi Char,Odsek zoznamu4 Char"/>
    <w:basedOn w:val="Standardnpsmoodstavce"/>
    <w:link w:val="Odstavecseseznamem"/>
    <w:uiPriority w:val="34"/>
    <w:qFormat/>
    <w:rsid w:val="005F4A13"/>
    <w:rPr>
      <w:color w:val="000000" w:themeColor="text1"/>
    </w:rPr>
  </w:style>
  <w:style w:type="character" w:customStyle="1" w:styleId="NadpissChar">
    <w:name w:val="Nadpiss Char"/>
    <w:basedOn w:val="OdstavecseseznamemChar"/>
    <w:link w:val="Nadpiss"/>
    <w:rsid w:val="00822239"/>
    <w:rPr>
      <w:rFonts w:ascii="Times New Roman" w:hAnsi="Times New Roman" w:cs="Times New Roman"/>
      <w:b/>
      <w:color w:val="000000" w:themeColor="text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64A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4A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4A50"/>
    <w:rPr>
      <w:rFonts w:ascii="Times New Roman" w:hAnsi="Times New Roman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4A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4A50"/>
    <w:rPr>
      <w:rFonts w:ascii="Times New Roman" w:hAnsi="Times New Roman"/>
      <w:b/>
      <w:bCs/>
      <w:color w:val="000000" w:themeColor="text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4A5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A50"/>
    <w:rPr>
      <w:rFonts w:ascii="Segoe UI" w:hAnsi="Segoe UI" w:cs="Segoe UI"/>
      <w:color w:val="000000" w:themeColor="text1"/>
      <w:sz w:val="18"/>
      <w:szCs w:val="18"/>
    </w:rPr>
  </w:style>
  <w:style w:type="paragraph" w:customStyle="1" w:styleId="2nadpis">
    <w:name w:val="2. nadpis"/>
    <w:basedOn w:val="Normln"/>
    <w:next w:val="Normln"/>
    <w:link w:val="2nadpisChar"/>
    <w:qFormat/>
    <w:rsid w:val="00F940EB"/>
    <w:pPr>
      <w:spacing w:before="360" w:after="240" w:line="240" w:lineRule="auto"/>
      <w:ind w:left="360" w:hanging="360"/>
      <w:jc w:val="left"/>
    </w:pPr>
    <w:rPr>
      <w:rFonts w:eastAsia="Calibri" w:cs="Times New Roman"/>
      <w:b/>
      <w:color w:val="auto"/>
      <w:sz w:val="28"/>
    </w:rPr>
  </w:style>
  <w:style w:type="character" w:customStyle="1" w:styleId="2nadpisChar">
    <w:name w:val="2. nadpis Char"/>
    <w:link w:val="2nadpis"/>
    <w:rsid w:val="00F940EB"/>
    <w:rPr>
      <w:rFonts w:ascii="Times New Roman" w:eastAsia="Calibri" w:hAnsi="Times New Roman" w:cs="Times New Roman"/>
      <w:b/>
      <w:sz w:val="28"/>
    </w:rPr>
  </w:style>
  <w:style w:type="paragraph" w:styleId="Textpoznpodarou">
    <w:name w:val="footnote text"/>
    <w:basedOn w:val="Normln"/>
    <w:link w:val="TextpoznpodarouChar"/>
    <w:uiPriority w:val="99"/>
    <w:unhideWhenUsed/>
    <w:rsid w:val="00081B17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81B17"/>
    <w:rPr>
      <w:rFonts w:ascii="Times New Roman" w:hAnsi="Times New Roman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81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560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C11C8-A5D5-409D-B22C-51106599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C5627C92.dotm</Template>
  <TotalTime>17</TotalTime>
  <Pages>6</Pages>
  <Words>2078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Karasová Tereza</dc:creator>
  <cp:keywords/>
  <dc:description/>
  <cp:lastModifiedBy>Karasová Tereza</cp:lastModifiedBy>
  <cp:revision>13</cp:revision>
  <cp:lastPrinted>2022-12-19T11:49:00Z</cp:lastPrinted>
  <dcterms:created xsi:type="dcterms:W3CDTF">2022-12-13T15:47:00Z</dcterms:created>
  <dcterms:modified xsi:type="dcterms:W3CDTF">2022-12-19T11:51:00Z</dcterms:modified>
</cp:coreProperties>
</file>